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24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32"/>
          <w:szCs w:val="32"/>
          <w:shd w:val="clear" w:fill="FFFFFF"/>
        </w:rPr>
        <w:t>TW-SNY30风光氢及超级电容混合发电系统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一、项目概述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本系统为科研创新理念与实验、实训型相结合的集风力发电，光伏发电、制氢系统、氢燃料电池发电、数据采集等多元化“风、光、氢混合型新能源实验实训系统”。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由风力发电机组、太阳能电池组、风力及光伏控制系统、氢燃料电池发电系统、制氢系统、储氢系统、主控系统组成的微网发电系统。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其工作原理是风力、光伏发电系统发电，并由电池储能，DC/AC逆变成交流电，驱动电解水设备制氢。氢气通过储氢系统储存，并驱动燃料电池电堆发电。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此外，DC/AC模块自带旁路功能，旁路端直接与市电连接，实现市电和逆变间的自动切换，在蓄电池所储电能不够用时，自动切换至市电供电，确保持续制氢功能正常运行。在本方案设计中主要体现在氢燃料电池系统、制氢系统、储氢系统的部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drawing>
          <wp:inline distT="0" distB="0" distL="114300" distR="114300">
            <wp:extent cx="5353050" cy="2484120"/>
            <wp:effectExtent l="0" t="0" r="11430" b="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6"/>
                    <a:stretch>
                      <a:fillRect/>
                    </a:stretch>
                  </pic:blipFill>
                  <pic:spPr>
                    <a:xfrm>
                      <a:off x="0" y="0"/>
                      <a:ext cx="5353050" cy="248412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1.1系统拓扑图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18"/>
          <w:szCs w:val="18"/>
          <w:shd w:val="clear" w:fill="FFFFFF"/>
        </w:rPr>
        <w:drawing>
          <wp:inline distT="0" distB="0" distL="114300" distR="114300">
            <wp:extent cx="5836920" cy="2578735"/>
            <wp:effectExtent l="0" t="0" r="0" b="12065"/>
            <wp:docPr id="2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7"/>
                    <pic:cNvPicPr>
                      <a:picLocks noChangeAspect="1"/>
                    </pic:cNvPicPr>
                  </pic:nvPicPr>
                  <pic:blipFill>
                    <a:blip r:embed="rId7"/>
                    <a:stretch>
                      <a:fillRect/>
                    </a:stretch>
                  </pic:blipFill>
                  <pic:spPr>
                    <a:xfrm>
                      <a:off x="0" y="0"/>
                      <a:ext cx="5836920" cy="257873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图1   系统拓扑图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jc w:val="left"/>
        <w:rPr>
          <w:rFonts w:hint="eastAsia" w:ascii="宋体" w:hAnsi="宋体" w:eastAsia="宋体" w:cs="宋体"/>
          <w:b/>
          <w:bCs/>
          <w:i w:val="0"/>
          <w:iCs w:val="0"/>
          <w:caps w:val="0"/>
          <w:color w:val="1F1F1F"/>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jc w:val="left"/>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1.2  功能特点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整套系统的各个模块预留了CAN\RS485\RS232\USB\TCPIP通讯接口，可以通过该通讯接口对系统中各个模块进行监控，便于未来项目开发使用。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系统实验平台集成了室内温/湿度仪，风速测量、光照度测量系统，让使用者操作起来更直观；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系统DC-AC并网同步电源，采用高频脉冲调制技术，具有小体积、高效率及高功率因数输出；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系统面板上采用直观的数字表和液晶显示，让用户了解当前系统工作状态；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系统上的离网电源可以为用户提供交流110V/220V纯正弦波交流电能；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实训系统，可以让实训学生自行拆装移动，使用简便、无噪音、无污染；</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系统增加市电与风光互补发电切换模块，让实验更具操作性；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增加分布式供电原理与实验电路，让学生增加对新知识的理解；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增设直流母线单元，方便系统各模块之间连接及实验；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独立的后备胶体蓄电池及充放电管理单元；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燃料电池运行过程中，只排除水和热量，不会产生任何有害物质及噪音；</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燃料电池较之传统电源方案，其运行安全可靠、寿命长，维护简单，降低了维护成本。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二、方案参数概述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2.1风力发电系统的组成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风力发电机是利用风力带动风车叶片旋转、转换为机械功，机械功带动发电机转子旋转，最终输出交流电的电力设备。是风力发电系统中不可或缺的核心部件。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218"/>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风力发电系统由一台5KW垂直轴风力发电机组、尾翼、叶片、风机控制器塔架等组成。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drawing>
          <wp:inline distT="0" distB="0" distL="114300" distR="114300">
            <wp:extent cx="2426970" cy="4103370"/>
            <wp:effectExtent l="0" t="0" r="11430" b="11430"/>
            <wp:docPr id="2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8"/>
                    <pic:cNvPicPr>
                      <a:picLocks noChangeAspect="1"/>
                    </pic:cNvPicPr>
                  </pic:nvPicPr>
                  <pic:blipFill>
                    <a:blip r:embed="rId8"/>
                    <a:stretch>
                      <a:fillRect/>
                    </a:stretch>
                  </pic:blipFill>
                  <pic:spPr>
                    <a:xfrm>
                      <a:off x="0" y="0"/>
                      <a:ext cx="2426970" cy="4103370"/>
                    </a:xfrm>
                    <a:prstGeom prst="rect">
                      <a:avLst/>
                    </a:prstGeom>
                    <a:noFill/>
                    <a:ln w="9525">
                      <a:noFill/>
                    </a:ln>
                  </pic:spPr>
                </pic:pic>
              </a:graphicData>
            </a:graphic>
          </wp:inline>
        </w:drawing>
      </w:r>
      <w:r>
        <w:rPr>
          <w:rFonts w:hint="eastAsia" w:ascii="宋体" w:hAnsi="宋体" w:eastAsia="宋体" w:cs="宋体"/>
          <w:i w:val="0"/>
          <w:iCs w:val="0"/>
          <w:caps w:val="0"/>
          <w:color w:val="1F1F1F"/>
          <w:spacing w:val="0"/>
          <w:sz w:val="21"/>
          <w:szCs w:val="21"/>
          <w:shd w:val="clear" w:fill="FFFFFF"/>
        </w:rPr>
        <w:drawing>
          <wp:inline distT="0" distB="0" distL="114300" distR="114300">
            <wp:extent cx="2447925" cy="3524250"/>
            <wp:effectExtent l="0" t="0" r="5715" b="11430"/>
            <wp:docPr id="2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9"/>
                    <pic:cNvPicPr>
                      <a:picLocks noChangeAspect="1"/>
                    </pic:cNvPicPr>
                  </pic:nvPicPr>
                  <pic:blipFill>
                    <a:blip r:embed="rId9"/>
                    <a:stretch>
                      <a:fillRect/>
                    </a:stretch>
                  </pic:blipFill>
                  <pic:spPr>
                    <a:xfrm>
                      <a:off x="0" y="0"/>
                      <a:ext cx="2447925" cy="35242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广义地说，风能也是太阳能，所以也可以说风力发电机，是一种以太阳为热源，以大气为工作介质的热能利用发电机。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jc w:val="left"/>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风力发电机参数：</w:t>
      </w:r>
    </w:p>
    <w:tbl>
      <w:tblPr>
        <w:tblStyle w:val="7"/>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268"/>
        <w:gridCol w:w="540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90" w:hRule="atLeast"/>
          <w:jc w:val="center"/>
        </w:trPr>
        <w:tc>
          <w:tcPr>
            <w:tcW w:w="2268"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额定功率</w:t>
            </w:r>
          </w:p>
        </w:tc>
        <w:tc>
          <w:tcPr>
            <w:tcW w:w="540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63"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最大功率</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6KW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额定电压</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48V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启动风速</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2.5m/s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额定风速</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18m/s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最大风速</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45m/s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05"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风机净重</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185kg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0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风轮直径</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2.0M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76"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塔架高度</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9M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07"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叶片高度</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3.6M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29"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叶片数量</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叶片材质</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铝合金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发电机</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三相交流永磁同步发电机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塔架类型</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独立塔架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0"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保护</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风机自我转数保护/电磁制动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51" w:hRule="atLeast"/>
          <w:jc w:val="center"/>
        </w:trPr>
        <w:tc>
          <w:tcPr>
            <w:tcW w:w="2268"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工作温度</w:t>
            </w:r>
          </w:p>
        </w:tc>
        <w:tc>
          <w:tcPr>
            <w:tcW w:w="54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-40℃-80℃</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b/>
          <w:bCs/>
          <w:i w:val="0"/>
          <w:iCs w:val="0"/>
          <w:caps w:val="0"/>
          <w:color w:val="1F1F1F"/>
          <w:spacing w:val="0"/>
          <w:sz w:val="24"/>
          <w:szCs w:val="24"/>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4"/>
          <w:szCs w:val="24"/>
          <w:shd w:val="clear" w:fill="FFFFFF"/>
        </w:rPr>
        <w:t>安装场地选择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0"/>
        <w:jc w:val="both"/>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选择土质坚实的平地作为安装场地，安装风力发电机的组位置应该至少远离房屋及人员活动场所50米，务必在选定安装场地时考虑到风叶的光影影响及风力发电机组运行时产生的噪音影响（正常工作时噪音约为65dbA）。同时避免周围有高大的树木、建筑物等影响风速风向的障碍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420"/>
        <w:jc w:val="both"/>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禁止安装在松软的沙地、高低不平的场地、有下陷或塌方可能的场地、洼地及其他容易受气候影响而发生地质变化的场地。同时需要考虑从风力发电机的电机部分到您的蓄电池组的距离，距离越短，所用传输电缆越短，因而传输过程中的耗能也越少，如果必须得有较长的距离,则尽量选用粗些的标准电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5" w:beforeAutospacing="0" w:after="85" w:afterAutospacing="0" w:line="216" w:lineRule="atLeast"/>
        <w:ind w:left="0" w:right="0" w:firstLine="0"/>
        <w:jc w:val="left"/>
        <w:rPr>
          <w:rFonts w:hint="eastAsia" w:ascii="宋体" w:hAnsi="宋体" w:eastAsia="宋体" w:cs="宋体"/>
          <w:b/>
          <w:bCs/>
          <w:i w:val="0"/>
          <w:iCs w:val="0"/>
          <w:caps w:val="0"/>
          <w:color w:val="1F1F1F"/>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5" w:beforeAutospacing="0" w:after="85" w:afterAutospacing="0" w:line="216" w:lineRule="atLeast"/>
        <w:ind w:left="0" w:right="0" w:firstLine="0"/>
        <w:jc w:val="left"/>
        <w:rPr>
          <w:rFonts w:hint="eastAsia" w:ascii="宋体" w:hAnsi="宋体" w:eastAsia="宋体" w:cs="宋体"/>
          <w:i w:val="0"/>
          <w:iCs w:val="0"/>
          <w:caps w:val="0"/>
          <w:color w:val="1F1F1F"/>
          <w:spacing w:val="0"/>
          <w:sz w:val="14"/>
          <w:szCs w:val="14"/>
        </w:rPr>
      </w:pPr>
      <w:bookmarkStart w:id="7" w:name="_GoBack"/>
      <w:bookmarkEnd w:id="7"/>
      <w:r>
        <w:rPr>
          <w:rFonts w:hint="eastAsia" w:ascii="宋体" w:hAnsi="宋体" w:eastAsia="宋体" w:cs="宋体"/>
          <w:b/>
          <w:bCs/>
          <w:i w:val="0"/>
          <w:iCs w:val="0"/>
          <w:caps w:val="0"/>
          <w:color w:val="1F1F1F"/>
          <w:spacing w:val="0"/>
          <w:sz w:val="21"/>
          <w:szCs w:val="21"/>
          <w:shd w:val="clear" w:fill="FFFFFF"/>
        </w:rPr>
        <w:t>风力发电控制器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专为风力发电机控制和蓄电池充电而设计， 能有效提升风力发电的效能。风能充电控制器，能有效防止风速过快时的失控，和发生强风时对风力发电机所产生的危险。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风力发电控制器是对风力发电机所发的电能进行调节和控制，一方面把调整后的能量送往直流负载或交流负载，另一方面把多余的能量按蓄电池的特性曲线对蓄电池组进行充电，当所发的电不能满足负载需要时，控制器又把蓄电池的电能送往负载。蓄电池充满电后，控制器要控制蓄电池不被过充。当蓄电池所储存的电能放完时，控制器要控制蓄电池不被过放电，保护蓄电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控制器采用PWM无级卸载方式控制风机对蓄电池进行智能充电。在风力发电机所发出的电能超过蓄电池存储量时，控制系统必须将多余的能量消耗掉。在正常卸载情况下，可确保蓄电池电压始终稳定在浮充电压点，而只是将多余的电能释放到卸荷器上。从而保证了最佳的蓄电池充电特性，使得电能得到充分利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5" w:beforeAutospacing="0" w:after="85" w:afterAutospacing="0" w:line="240" w:lineRule="atLeast"/>
        <w:ind w:left="0" w:right="0" w:firstLine="422"/>
        <w:jc w:val="left"/>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风力发电控制器参数：</w:t>
      </w:r>
    </w:p>
    <w:tbl>
      <w:tblPr>
        <w:tblStyle w:val="7"/>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3957"/>
        <w:gridCol w:w="38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3957" w:type="dxa"/>
            <w:tcBorders>
              <w:top w:val="single" w:color="999999" w:sz="8" w:space="0"/>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工作电压：</w:t>
            </w:r>
          </w:p>
        </w:tc>
        <w:tc>
          <w:tcPr>
            <w:tcW w:w="3874" w:type="dxa"/>
            <w:tcBorders>
              <w:top w:val="single" w:color="999999" w:sz="8" w:space="0"/>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48VDC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39" w:hRule="atLeast"/>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充电功率：</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5000W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风机功率：</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5000W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充电方式：</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PWM脉宽调制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充电最大电流</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116A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过放保护电压</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41.5V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过放恢复电压</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52.2V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输出保护电压</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59V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卸载开始电压（出厂值）</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60.5V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957"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卸载开始电流（出厂值）</w:t>
            </w:r>
          </w:p>
        </w:tc>
        <w:tc>
          <w:tcPr>
            <w:tcW w:w="3874"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86A</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2.2光伏发电系统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10KW太阳能电池组件分为两部分，其中一个5KW采用标准钢结构件固定在C型专制钢件上，呈40度正面朝向正南方，整体支架系统放置在地面或者屋顶；另一个5KW采用双轴自动跟踪，经电缆输送至室内实验设备，可实现分布式屋顶发电相关实验，所发电能与风力发电相结合，经DC-AC逆变成正弦波220V交流电，可供制氢系统使用、多余电能经储能逆变器送入电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center"/>
        <w:rPr>
          <w:rFonts w:hint="default" w:ascii="Calibri" w:hAnsi="Calibri" w:eastAsia="宋体" w:cs="Calibri"/>
          <w:i w:val="0"/>
          <w:iCs w:val="0"/>
          <w:caps w:val="0"/>
          <w:color w:val="1F1F1F"/>
          <w:spacing w:val="0"/>
          <w:sz w:val="21"/>
          <w:szCs w:val="21"/>
          <w:shd w:val="clear" w:fill="FFFFFF"/>
        </w:rPr>
      </w:pPr>
      <w:r>
        <w:rPr>
          <w:rFonts w:hint="default" w:ascii="Calibri" w:hAnsi="Calibri" w:eastAsia="宋体" w:cs="Calibri"/>
          <w:i w:val="0"/>
          <w:iCs w:val="0"/>
          <w:caps w:val="0"/>
          <w:color w:val="1F1F1F"/>
          <w:spacing w:val="0"/>
          <w:sz w:val="21"/>
          <w:szCs w:val="21"/>
          <w:shd w:val="clear" w:fill="FFFFFF"/>
        </w:rPr>
        <w:drawing>
          <wp:inline distT="0" distB="0" distL="114300" distR="114300">
            <wp:extent cx="4552950" cy="4181475"/>
            <wp:effectExtent l="0" t="0" r="3810" b="9525"/>
            <wp:docPr id="4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61"/>
                    <pic:cNvPicPr>
                      <a:picLocks noChangeAspect="1"/>
                    </pic:cNvPicPr>
                  </pic:nvPicPr>
                  <pic:blipFill>
                    <a:blip r:embed="rId10"/>
                    <a:stretch>
                      <a:fillRect/>
                    </a:stretch>
                  </pic:blipFill>
                  <pic:spPr>
                    <a:xfrm>
                      <a:off x="0" y="0"/>
                      <a:ext cx="4552950" cy="41814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center"/>
        <w:rPr>
          <w:rFonts w:hint="eastAsia" w:ascii="Calibri" w:hAnsi="Calibri" w:eastAsia="宋体" w:cs="Calibri"/>
          <w:i w:val="0"/>
          <w:iCs w:val="0"/>
          <w:caps w:val="0"/>
          <w:color w:val="1F1F1F"/>
          <w:spacing w:val="0"/>
          <w:sz w:val="21"/>
          <w:szCs w:val="21"/>
          <w:shd w:val="clear" w:fill="FFFFFF"/>
        </w:rPr>
      </w:pPr>
      <w:r>
        <w:rPr>
          <w:rFonts w:ascii="Calibri" w:hAnsi="Calibri" w:eastAsia="宋体" w:cs="Calibri"/>
          <w:i w:val="0"/>
          <w:iCs w:val="0"/>
          <w:caps w:val="0"/>
          <w:color w:val="1F1F1F"/>
          <w:spacing w:val="0"/>
          <w:sz w:val="21"/>
          <w:szCs w:val="21"/>
          <w:shd w:val="clear" w:fill="FFFFFF"/>
        </w:rPr>
        <w:drawing>
          <wp:inline distT="0" distB="0" distL="114300" distR="114300">
            <wp:extent cx="3554730" cy="2011680"/>
            <wp:effectExtent l="0" t="0" r="11430" b="0"/>
            <wp:docPr id="2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60"/>
                    <pic:cNvPicPr>
                      <a:picLocks noChangeAspect="1"/>
                    </pic:cNvPicPr>
                  </pic:nvPicPr>
                  <pic:blipFill>
                    <a:blip r:embed="rId11"/>
                    <a:stretch>
                      <a:fillRect/>
                    </a:stretch>
                  </pic:blipFill>
                  <pic:spPr>
                    <a:xfrm>
                      <a:off x="0" y="0"/>
                      <a:ext cx="3554730" cy="201168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jc w:val="left"/>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地面固定式方阵及支架 室外双轴跟踪式支架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89"/>
        <w:jc w:val="left"/>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所有系统的设计、安装与实际工程一样，可在老师的指导下做为学生练习拆卸、组装实习样机来用。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5" w:beforeAutospacing="0" w:after="85"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太阳能光电池组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太阳能电池组是本实训台的核心组成部分亦是光伏发电系统不可或缺的核心部件，是将光能转换为电能并通过光伏控制系统储存在储能电池当中做为直流总线电源供给DC-AC并网同步电源。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5" w:beforeAutospacing="0" w:after="85"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太阳能电池组为多晶硅或单晶硅，是由高效晶体硅太阳能电池片、超白布纹钢化玻璃、EVA、透明TPT背板以及铝合金边框组成。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5" w:beforeAutospacing="0" w:after="85" w:afterAutospacing="0" w:line="216" w:lineRule="atLeast"/>
        <w:ind w:left="0" w:right="0" w:firstLine="64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其规格如下：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14"/>
          <w:szCs w:val="14"/>
          <w:shd w:val="clear" w:fill="FFFFFF"/>
        </w:rPr>
        <w:drawing>
          <wp:inline distT="0" distB="0" distL="114300" distR="114300">
            <wp:extent cx="1543050" cy="2752725"/>
            <wp:effectExtent l="0" t="0" r="11430" b="5715"/>
            <wp:docPr id="3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IMG_262"/>
                    <pic:cNvPicPr>
                      <a:picLocks noChangeAspect="1"/>
                    </pic:cNvPicPr>
                  </pic:nvPicPr>
                  <pic:blipFill>
                    <a:blip r:embed="rId12"/>
                    <a:stretch>
                      <a:fillRect/>
                    </a:stretch>
                  </pic:blipFill>
                  <pic:spPr>
                    <a:xfrm>
                      <a:off x="0" y="0"/>
                      <a:ext cx="1543050" cy="2752725"/>
                    </a:xfrm>
                    <a:prstGeom prst="rect">
                      <a:avLst/>
                    </a:prstGeom>
                    <a:noFill/>
                    <a:ln w="9525">
                      <a:noFill/>
                    </a:ln>
                  </pic:spPr>
                </pic:pic>
              </a:graphicData>
            </a:graphic>
          </wp:inline>
        </w:drawing>
      </w:r>
      <w:r>
        <w:rPr>
          <w:rFonts w:hint="eastAsia" w:ascii="宋体" w:hAnsi="宋体" w:eastAsia="宋体" w:cs="宋体"/>
          <w:i w:val="0"/>
          <w:iCs w:val="0"/>
          <w:caps w:val="0"/>
          <w:color w:val="1F1F1F"/>
          <w:spacing w:val="0"/>
          <w:sz w:val="24"/>
          <w:szCs w:val="24"/>
          <w:shd w:val="clear" w:fill="FFFFFF"/>
        </w:rPr>
        <w:t> </w:t>
      </w:r>
      <w:r>
        <w:rPr>
          <w:rFonts w:hint="eastAsia" w:ascii="宋体" w:hAnsi="宋体" w:eastAsia="宋体" w:cs="宋体"/>
          <w:i w:val="0"/>
          <w:iCs w:val="0"/>
          <w:caps w:val="0"/>
          <w:color w:val="1F1F1F"/>
          <w:spacing w:val="0"/>
          <w:sz w:val="14"/>
          <w:szCs w:val="14"/>
          <w:shd w:val="clear" w:fill="FFFFFF"/>
        </w:rPr>
        <w:drawing>
          <wp:inline distT="0" distB="0" distL="114300" distR="114300">
            <wp:extent cx="1905000" cy="2781300"/>
            <wp:effectExtent l="0" t="0" r="0" b="7620"/>
            <wp:docPr id="4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IMG_263"/>
                    <pic:cNvPicPr>
                      <a:picLocks noChangeAspect="1"/>
                    </pic:cNvPicPr>
                  </pic:nvPicPr>
                  <pic:blipFill>
                    <a:blip r:embed="rId13"/>
                    <a:stretch>
                      <a:fillRect/>
                    </a:stretch>
                  </pic:blipFill>
                  <pic:spPr>
                    <a:xfrm>
                      <a:off x="0" y="0"/>
                      <a:ext cx="1905000" cy="2781300"/>
                    </a:xfrm>
                    <a:prstGeom prst="rect">
                      <a:avLst/>
                    </a:prstGeom>
                    <a:noFill/>
                    <a:ln w="9525">
                      <a:noFill/>
                    </a:ln>
                  </pic:spPr>
                </pic:pic>
              </a:graphicData>
            </a:graphic>
          </wp:inline>
        </w:drawing>
      </w:r>
      <w:r>
        <w:rPr>
          <w:rFonts w:hint="eastAsia" w:ascii="宋体" w:hAnsi="宋体" w:eastAsia="宋体" w:cs="宋体"/>
          <w:i w:val="0"/>
          <w:iCs w:val="0"/>
          <w:caps w:val="0"/>
          <w:color w:val="1F1F1F"/>
          <w:spacing w:val="0"/>
          <w:sz w:val="24"/>
          <w:szCs w:val="24"/>
          <w:shd w:val="clear" w:fill="FFFFFF"/>
        </w:rPr>
        <w:t> </w:t>
      </w:r>
      <w:r>
        <w:rPr>
          <w:rFonts w:hint="eastAsia" w:ascii="宋体" w:hAnsi="宋体" w:eastAsia="宋体" w:cs="宋体"/>
          <w:i w:val="0"/>
          <w:iCs w:val="0"/>
          <w:caps w:val="0"/>
          <w:color w:val="1F1F1F"/>
          <w:spacing w:val="0"/>
          <w:sz w:val="14"/>
          <w:szCs w:val="14"/>
          <w:shd w:val="clear" w:fill="FFFFFF"/>
        </w:rPr>
        <w:drawing>
          <wp:inline distT="0" distB="0" distL="114300" distR="114300">
            <wp:extent cx="1457325" cy="1562100"/>
            <wp:effectExtent l="0" t="0" r="5715" b="7620"/>
            <wp:docPr id="3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IMG_264"/>
                    <pic:cNvPicPr>
                      <a:picLocks noChangeAspect="1"/>
                    </pic:cNvPicPr>
                  </pic:nvPicPr>
                  <pic:blipFill>
                    <a:blip r:embed="rId14"/>
                    <a:stretch>
                      <a:fillRect/>
                    </a:stretch>
                  </pic:blipFill>
                  <pic:spPr>
                    <a:xfrm>
                      <a:off x="0" y="0"/>
                      <a:ext cx="1457325" cy="15621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单晶硅太阳能电池规格</w:t>
      </w:r>
    </w:p>
    <w:tbl>
      <w:tblPr>
        <w:tblStyle w:val="7"/>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3644"/>
        <w:gridCol w:w="44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3644" w:type="dxa"/>
            <w:tcBorders>
              <w:top w:val="single" w:color="999999" w:sz="8" w:space="0"/>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组件尺寸(L*W*H)</w:t>
            </w:r>
          </w:p>
        </w:tc>
        <w:tc>
          <w:tcPr>
            <w:tcW w:w="4452" w:type="dxa"/>
            <w:tcBorders>
              <w:top w:val="single" w:color="999999" w:sz="8" w:space="0"/>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1650*992*35mm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644"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最佳功率</w:t>
            </w:r>
          </w:p>
        </w:tc>
        <w:tc>
          <w:tcPr>
            <w:tcW w:w="4452"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260W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644"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最佳工作电压</w:t>
            </w:r>
          </w:p>
        </w:tc>
        <w:tc>
          <w:tcPr>
            <w:tcW w:w="4452"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32.05±0.5V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644"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最佳工作电流</w:t>
            </w:r>
          </w:p>
        </w:tc>
        <w:tc>
          <w:tcPr>
            <w:tcW w:w="4452"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8.72±0.10A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644"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短路电流</w:t>
            </w:r>
          </w:p>
        </w:tc>
        <w:tc>
          <w:tcPr>
            <w:tcW w:w="4452"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8.85±0.10A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644"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开路电压</w:t>
            </w:r>
          </w:p>
        </w:tc>
        <w:tc>
          <w:tcPr>
            <w:tcW w:w="4452"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42±0.5V</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1、抗盐雾和氨腐蚀等国际权威测试；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2、可承受风压</w:t>
      </w:r>
      <w:r>
        <w:rPr>
          <w:rFonts w:hint="default" w:ascii="Calibri" w:hAnsi="Calibri" w:eastAsia="宋体" w:cs="Calibri"/>
          <w:b w:val="0"/>
          <w:bCs w:val="0"/>
          <w:i w:val="0"/>
          <w:iCs w:val="0"/>
          <w:caps w:val="0"/>
          <w:color w:val="1F1F1F"/>
          <w:spacing w:val="0"/>
          <w:sz w:val="21"/>
          <w:szCs w:val="21"/>
          <w:shd w:val="clear" w:fill="FFFFFF"/>
        </w:rPr>
        <w:t>2400Pa,</w:t>
      </w:r>
      <w:r>
        <w:rPr>
          <w:rFonts w:hint="eastAsia" w:ascii="宋体" w:hAnsi="宋体" w:eastAsia="宋体" w:cs="宋体"/>
          <w:b w:val="0"/>
          <w:bCs w:val="0"/>
          <w:i w:val="0"/>
          <w:iCs w:val="0"/>
          <w:caps w:val="0"/>
          <w:color w:val="1F1F1F"/>
          <w:spacing w:val="0"/>
          <w:sz w:val="21"/>
          <w:szCs w:val="21"/>
          <w:shd w:val="clear" w:fill="FFFFFF"/>
        </w:rPr>
        <w:t>雪压</w:t>
      </w:r>
      <w:r>
        <w:rPr>
          <w:rFonts w:hint="default" w:ascii="Calibri" w:hAnsi="Calibri" w:eastAsia="宋体" w:cs="Calibri"/>
          <w:b w:val="0"/>
          <w:bCs w:val="0"/>
          <w:i w:val="0"/>
          <w:iCs w:val="0"/>
          <w:caps w:val="0"/>
          <w:color w:val="1F1F1F"/>
          <w:spacing w:val="0"/>
          <w:sz w:val="21"/>
          <w:szCs w:val="21"/>
          <w:shd w:val="clear" w:fill="FFFFFF"/>
        </w:rPr>
        <w:t>7200Pa</w:t>
      </w:r>
      <w:r>
        <w:rPr>
          <w:rFonts w:hint="eastAsia" w:ascii="宋体" w:hAnsi="宋体" w:eastAsia="宋体" w:cs="宋体"/>
          <w:b w:val="0"/>
          <w:bCs w:val="0"/>
          <w:i w:val="0"/>
          <w:iCs w:val="0"/>
          <w:caps w:val="0"/>
          <w:color w:val="1F1F1F"/>
          <w:spacing w:val="0"/>
          <w:sz w:val="21"/>
          <w:szCs w:val="21"/>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3、优秀的弱光环境发电性能，阴天也能发电；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4、输出功率年衰减率小于</w:t>
      </w:r>
      <w:r>
        <w:rPr>
          <w:rFonts w:hint="default" w:ascii="Calibri" w:hAnsi="Calibri" w:eastAsia="宋体" w:cs="Calibri"/>
          <w:b w:val="0"/>
          <w:bCs w:val="0"/>
          <w:i w:val="0"/>
          <w:iCs w:val="0"/>
          <w:caps w:val="0"/>
          <w:color w:val="1F1F1F"/>
          <w:spacing w:val="0"/>
          <w:sz w:val="21"/>
          <w:szCs w:val="21"/>
          <w:shd w:val="clear" w:fill="FFFFFF"/>
        </w:rPr>
        <w:t>0.7%</w:t>
      </w:r>
      <w:r>
        <w:rPr>
          <w:rFonts w:hint="eastAsia" w:ascii="宋体" w:hAnsi="宋体" w:eastAsia="宋体" w:cs="宋体"/>
          <w:b w:val="0"/>
          <w:bCs w:val="0"/>
          <w:i w:val="0"/>
          <w:iCs w:val="0"/>
          <w:caps w:val="0"/>
          <w:color w:val="1F1F1F"/>
          <w:spacing w:val="0"/>
          <w:sz w:val="21"/>
          <w:szCs w:val="21"/>
          <w:shd w:val="clear" w:fill="FFFFFF"/>
        </w:rPr>
        <w:t>，第</w:t>
      </w:r>
      <w:r>
        <w:rPr>
          <w:rFonts w:hint="default" w:ascii="Calibri" w:hAnsi="Calibri" w:eastAsia="宋体" w:cs="Calibri"/>
          <w:b w:val="0"/>
          <w:bCs w:val="0"/>
          <w:i w:val="0"/>
          <w:iCs w:val="0"/>
          <w:caps w:val="0"/>
          <w:color w:val="1F1F1F"/>
          <w:spacing w:val="0"/>
          <w:sz w:val="21"/>
          <w:szCs w:val="21"/>
          <w:shd w:val="clear" w:fill="FFFFFF"/>
        </w:rPr>
        <w:t>25</w:t>
      </w:r>
      <w:r>
        <w:rPr>
          <w:rFonts w:hint="eastAsia" w:ascii="宋体" w:hAnsi="宋体" w:eastAsia="宋体" w:cs="宋体"/>
          <w:b w:val="0"/>
          <w:bCs w:val="0"/>
          <w:i w:val="0"/>
          <w:iCs w:val="0"/>
          <w:caps w:val="0"/>
          <w:color w:val="1F1F1F"/>
          <w:spacing w:val="0"/>
          <w:sz w:val="21"/>
          <w:szCs w:val="21"/>
          <w:shd w:val="clear" w:fill="FFFFFF"/>
        </w:rPr>
        <w:t>年不低于组件初始功率的</w:t>
      </w:r>
      <w:r>
        <w:rPr>
          <w:rFonts w:hint="default" w:ascii="Calibri" w:hAnsi="Calibri" w:eastAsia="宋体" w:cs="Calibri"/>
          <w:b w:val="0"/>
          <w:bCs w:val="0"/>
          <w:i w:val="0"/>
          <w:iCs w:val="0"/>
          <w:caps w:val="0"/>
          <w:color w:val="1F1F1F"/>
          <w:spacing w:val="0"/>
          <w:sz w:val="21"/>
          <w:szCs w:val="21"/>
          <w:shd w:val="clear" w:fill="FFFFFF"/>
        </w:rPr>
        <w:t>80.70%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1.组件型号：BY260P-29b 多晶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2.最大功率（W）：260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3.开路电压（V）：35.9</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4.短路电流（A）：7.27</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5.最大功率点的工作电压（V）：28.1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6.最大功率点的工作电流（Ａ）：6.7</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7.转化效率：17.12%</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8.开路电压温度系数：-0.292%/K</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9.短路电流温度系数：+0.045%/K</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10.功率温度系统：-0.408%/K</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11.最大系统电压（V）：1000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12.组件尺寸（长×宽×高）：1640×992×40mm</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13.重量：19.1kg</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14.框架：阳极氧化铝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15.玻璃：白色钢化安全玻璃3.2mm</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16.电池片封装：EVA</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17.背板：复合薄膜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18.太阳能电池片：6×10片多晶硅太阳能电池片（156mm×156mm）</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19.接线盒</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1.6个旁路二极管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2.绝缘材料：PPO</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3.防水等级：IP65</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连接器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1.常规额定电流：30A</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2.耐电压：DC1000V</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3.接触电阻：&lt;2mΩ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4.绝缘电阻：＞500MΩ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5.适用单芯电缆截面：2.5-6mm2</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6.电缆外径范围：Φ5mm～Φ 7mm</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7.环境温度：-40℃～+ 105℃</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8.防护等级：IP67</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9.安全等级：Ⅱ</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10.壳体：PC料，黑色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11.接触件：紫铜CN，镀锡SN</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12.接线方式：压接  MC4</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电 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1.长度：450mm,</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2.规格：1×4mm²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3.颜色：红、黑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温度范围系数：-40°C to+85°C</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抗冰雹系数：最大直径25mm,撞击速度23m/s(51.2mph)</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olor w:val="000000"/>
          <w:sz w:val="21"/>
          <w:szCs w:val="21"/>
        </w:rPr>
        <w:t>最大表面负荷：7200pa</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olor w:val="000000"/>
          <w:sz w:val="21"/>
          <w:szCs w:val="21"/>
        </w:rPr>
        <w:t>5KW光伏储能逆变器介绍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274" w:right="0"/>
        <w:jc w:val="center"/>
        <w:rPr>
          <w:rFonts w:hint="default" w:ascii="Calibri" w:hAnsi="Calibri" w:cs="Calibri"/>
          <w:b w:val="0"/>
          <w:bCs w:val="0"/>
          <w:i w:val="0"/>
          <w:iCs w:val="0"/>
          <w:color w:val="000000"/>
          <w:sz w:val="21"/>
          <w:szCs w:val="21"/>
        </w:rPr>
      </w:pPr>
      <w:r>
        <w:rPr>
          <w:rFonts w:hint="default" w:ascii="Calibri" w:hAnsi="Calibri" w:eastAsia="宋体" w:cs="Calibri"/>
          <w:b w:val="0"/>
          <w:bCs w:val="0"/>
          <w:i w:val="0"/>
          <w:iCs w:val="0"/>
          <w:caps w:val="0"/>
          <w:color w:val="000000"/>
          <w:spacing w:val="0"/>
          <w:sz w:val="21"/>
          <w:szCs w:val="21"/>
          <w:shd w:val="clear" w:fill="FFFFFF"/>
        </w:rPr>
        <w:drawing>
          <wp:inline distT="0" distB="0" distL="114300" distR="114300">
            <wp:extent cx="1790700" cy="1952625"/>
            <wp:effectExtent l="0" t="0" r="7620" b="13335"/>
            <wp:docPr id="3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IMG_265"/>
                    <pic:cNvPicPr>
                      <a:picLocks noChangeAspect="1"/>
                    </pic:cNvPicPr>
                  </pic:nvPicPr>
                  <pic:blipFill>
                    <a:blip r:embed="rId15"/>
                    <a:stretch>
                      <a:fillRect/>
                    </a:stretch>
                  </pic:blipFill>
                  <pic:spPr>
                    <a:xfrm>
                      <a:off x="0" y="0"/>
                      <a:ext cx="1790700" cy="19526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center"/>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4"/>
          <w:szCs w:val="24"/>
          <w:shd w:val="clear" w:fill="FFFFFF"/>
        </w:rPr>
        <w:t>4850D-ES外观图</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宋体" w:hAnsi="宋体" w:eastAsia="宋体" w:cs="宋体"/>
          <w:b w:val="0"/>
          <w:bCs w:val="0"/>
          <w:i w:val="0"/>
          <w:iCs w:val="0"/>
          <w:color w:val="000000"/>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274" w:right="0"/>
        <w:rPr>
          <w:rFonts w:hint="eastAsia" w:ascii="宋体" w:hAnsi="宋体" w:eastAsia="宋体" w:cs="宋体"/>
          <w:b w:val="0"/>
          <w:bCs w:val="0"/>
          <w:i w:val="0"/>
          <w:iCs w:val="0"/>
          <w:color w:val="000000"/>
          <w:sz w:val="21"/>
          <w:szCs w:val="21"/>
        </w:rPr>
      </w:pPr>
      <w:bookmarkStart w:id="0" w:name="_Toc452106860"/>
      <w:bookmarkEnd w:id="0"/>
      <w:bookmarkStart w:id="1" w:name="_Toc445804359"/>
      <w:bookmarkEnd w:id="1"/>
      <w:bookmarkStart w:id="2" w:name="_Toc418838576"/>
      <w:bookmarkEnd w:id="2"/>
      <w:r>
        <w:rPr>
          <w:rFonts w:hint="eastAsia" w:ascii="宋体" w:hAnsi="宋体" w:eastAsia="宋体" w:cs="宋体"/>
          <w:b/>
          <w:bCs/>
          <w:i w:val="0"/>
          <w:iCs w:val="0"/>
          <w:caps w:val="0"/>
          <w:color w:val="000000"/>
          <w:spacing w:val="0"/>
          <w:sz w:val="21"/>
          <w:szCs w:val="21"/>
          <w:shd w:val="clear" w:fill="FFFFFF"/>
        </w:rPr>
        <w:t>产品主电路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274" w:right="0"/>
        <w:jc w:val="center"/>
        <w:rPr>
          <w:rFonts w:hint="default" w:ascii="Calibri" w:hAnsi="Calibri" w:cs="Calibri"/>
          <w:b w:val="0"/>
          <w:bCs w:val="0"/>
          <w:i w:val="0"/>
          <w:iCs w:val="0"/>
          <w:color w:val="000000"/>
          <w:sz w:val="21"/>
          <w:szCs w:val="21"/>
        </w:rPr>
      </w:pPr>
      <w:r>
        <w:rPr>
          <w:rFonts w:hint="default" w:ascii="Calibri" w:hAnsi="Calibri" w:eastAsia="宋体" w:cs="Calibri"/>
          <w:b w:val="0"/>
          <w:bCs w:val="0"/>
          <w:i w:val="0"/>
          <w:iCs w:val="0"/>
          <w:caps w:val="0"/>
          <w:color w:val="000000"/>
          <w:spacing w:val="0"/>
          <w:sz w:val="21"/>
          <w:szCs w:val="21"/>
          <w:shd w:val="clear" w:fill="FFFFFF"/>
        </w:rPr>
        <w:drawing>
          <wp:inline distT="0" distB="0" distL="114300" distR="114300">
            <wp:extent cx="5753100" cy="1362075"/>
            <wp:effectExtent l="0" t="0" r="7620" b="9525"/>
            <wp:docPr id="4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descr="IMG_266"/>
                    <pic:cNvPicPr>
                      <a:picLocks noChangeAspect="1"/>
                    </pic:cNvPicPr>
                  </pic:nvPicPr>
                  <pic:blipFill>
                    <a:blip r:embed="rId16"/>
                    <a:stretch>
                      <a:fillRect/>
                    </a:stretch>
                  </pic:blipFill>
                  <pic:spPr>
                    <a:xfrm>
                      <a:off x="0" y="0"/>
                      <a:ext cx="5753100" cy="13620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274" w:right="0"/>
        <w:jc w:val="center"/>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主电路框图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产品主电路采用双向PWM逆变电路及相应的控制电路、保护和监控电路。直流侧由缓冲电阻、防反二极管和直流接触器组成了直流侧缓冲电路，当初始连接各种电池时对直流母线电容进行缓冲。主电路电源可有交直两用供电，以使系统在电池或电网有电时都可以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18" w:lineRule="atLeast"/>
        <w:ind w:left="0" w:right="0" w:firstLine="0"/>
        <w:rPr>
          <w:rFonts w:ascii="Segoe UI" w:hAnsi="Segoe UI" w:eastAsia="Segoe UI" w:cs="Segoe UI"/>
          <w:i w:val="0"/>
          <w:iCs w:val="0"/>
          <w:caps w:val="0"/>
          <w:color w:val="333333"/>
          <w:spacing w:val="0"/>
          <w:sz w:val="29"/>
          <w:szCs w:val="29"/>
        </w:rPr>
      </w:pPr>
      <w:bookmarkStart w:id="3" w:name="_Toc418838577"/>
      <w:bookmarkEnd w:id="3"/>
      <w:bookmarkStart w:id="4" w:name="_Toc445804360"/>
      <w:bookmarkEnd w:id="4"/>
      <w:bookmarkStart w:id="5" w:name="_Toc452106861"/>
      <w:bookmarkEnd w:id="5"/>
      <w:r>
        <w:rPr>
          <w:rFonts w:hint="eastAsia" w:ascii="宋体" w:hAnsi="宋体" w:eastAsia="宋体" w:cs="宋体"/>
          <w:b/>
          <w:bCs/>
          <w:i w:val="0"/>
          <w:iCs w:val="0"/>
          <w:caps w:val="0"/>
          <w:color w:val="333333"/>
          <w:spacing w:val="0"/>
          <w:sz w:val="21"/>
          <w:szCs w:val="21"/>
          <w:shd w:val="clear" w:fill="FFFFFF"/>
        </w:rPr>
        <w:t>产品特点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jc w:val="left"/>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1）技术领先，全面满足电网或负荷的接入与控制要求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具有并网充放电、独立逆变功能，适合各种应用场合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具有并网和离网并联功能，良好的扩容性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可与多种蓄电池接口，具有多种充放电工作模式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可以实时接受系统调度指令和BMS指令，通讯方式有RS485、CAN、以太网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无功功率可调，功率因数范围超前0.9至滞后0.9</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直流电压范围，支持低压48V蓄电池输入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110%额定输出功率可实现长时间运行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2）高效节能，更集成，更好的客户体验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正面维护，可靠墙安装，安装维护更方便，降低维护成本</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防护等级为IP21，具有防滴水功能，具备防凝露功能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高效PWM调制算法，降低开关损耗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3）更多优点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双电源冗余供电方案提升系统可靠性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完善的保护及故障告警系统，更加安全可靠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采用动态图形液晶界面，提供友好的操作体验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-25℃~+55℃可连续满功率运行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适应高海拔恶劣环境，可长期连续、可靠运行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支持离网主动运行功能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适合共直流母线系统和共交流母线系统</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749"/>
        <w:gridCol w:w="44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6" w:hRule="atLeast"/>
          <w:jc w:val="center"/>
        </w:trPr>
        <w:tc>
          <w:tcPr>
            <w:tcW w:w="8218" w:type="dxa"/>
            <w:gridSpan w:val="2"/>
            <w:tcBorders>
              <w:top w:val="single" w:color="000000" w:sz="8" w:space="0"/>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bookmarkStart w:id="6" w:name="_Toc452106862"/>
            <w:bookmarkEnd w:id="6"/>
            <w:r>
              <w:rPr>
                <w:rFonts w:hint="eastAsia" w:ascii="宋体" w:hAnsi="宋体" w:eastAsia="宋体" w:cs="宋体"/>
                <w:color w:val="666666"/>
                <w:sz w:val="21"/>
                <w:szCs w:val="21"/>
              </w:rPr>
              <w:t>直流侧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最大直流功率</w:t>
            </w:r>
          </w:p>
        </w:tc>
        <w:tc>
          <w:tcPr>
            <w:tcW w:w="4469" w:type="dxa"/>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最大直流电压</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工作电压范围</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125~550V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最低直流电压</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125V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最大直流电流</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11A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3" w:hRule="atLeast"/>
          <w:jc w:val="center"/>
        </w:trPr>
        <w:tc>
          <w:tcPr>
            <w:tcW w:w="8218"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交流侧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额定功率</w:t>
            </w:r>
          </w:p>
        </w:tc>
        <w:tc>
          <w:tcPr>
            <w:tcW w:w="4469" w:type="dxa"/>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最大交流侧功率</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5.5kVA（长时间运行）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最大交流电流</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最大总谐波失真</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&lt;3%(额定功率时)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额定电网电压</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允许电网电压范围</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180~265V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额定电网频率</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50/60Hz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允许电网频率范围</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47~52Hz/57~62Hz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额定功率下的功率因数</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&gt;0.99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隔离变压器</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具备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直流电流分量</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&lt;0.5%额定输出电流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功率因数可调范围</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0.9（超前）~0.9（滞后）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独立逆变电压范围</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230V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独立逆变输出电压失真度</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&lt;3%（线性负载）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带不平衡负载能力</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独立逆变电压过渡变动范围</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10％以内（电阻负载0%⇔100%）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独立逆变峰值系数(CF)</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48" w:hRule="atLeast"/>
          <w:jc w:val="center"/>
        </w:trPr>
        <w:tc>
          <w:tcPr>
            <w:tcW w:w="8218"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最大效率</w:t>
            </w:r>
          </w:p>
        </w:tc>
        <w:tc>
          <w:tcPr>
            <w:tcW w:w="4469" w:type="dxa"/>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jc w:val="center"/>
        </w:trPr>
        <w:tc>
          <w:tcPr>
            <w:tcW w:w="8218"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直流侧断路设备</w:t>
            </w:r>
          </w:p>
        </w:tc>
        <w:tc>
          <w:tcPr>
            <w:tcW w:w="4469" w:type="dxa"/>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断路器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直流过压保护</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具备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极性反接保护</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具备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绝缘阻抗侦测</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具备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交流过压保护</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具备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孤岛保护</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具备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模块温度保护</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具备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jc w:val="center"/>
        </w:trPr>
        <w:tc>
          <w:tcPr>
            <w:tcW w:w="8218" w:type="dxa"/>
            <w:gridSpan w:val="2"/>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常规数据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体积（宽 / 高 / 厚）</w:t>
            </w:r>
          </w:p>
        </w:tc>
        <w:tc>
          <w:tcPr>
            <w:tcW w:w="4469" w:type="dxa"/>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516 × 440 × 184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重量</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运行温度范围</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停机自耗电</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&lt;5W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冷却方式</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自然对流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防护等级</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IP65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相对湿度 （无冷凝）</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0~95%，无冷凝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最高海拔</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2000m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显示屏</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LED&amp;APP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749"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BMS通讯方式</w:t>
            </w:r>
          </w:p>
        </w:tc>
        <w:tc>
          <w:tcPr>
            <w:tcW w:w="4469" w:type="dxa"/>
            <w:tcBorders>
              <w:top w:val="nil"/>
              <w:left w:val="nil"/>
              <w:bottom w:val="single" w:color="000000" w:sz="8" w:space="0"/>
              <w:right w:val="single" w:color="000000" w:sz="8" w:space="0"/>
            </w:tcBorders>
            <w:shd w:val="clear" w:color="auto" w:fill="auto"/>
            <w:tcMar>
              <w:top w:w="0" w:type="dxa"/>
              <w:left w:w="0" w:type="dxa"/>
              <w:bottom w:w="0" w:type="dxa"/>
              <w:right w:w="0"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USB2.0、Wifi</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18" w:lineRule="atLeast"/>
        <w:ind w:left="0" w:right="0" w:firstLine="0"/>
        <w:rPr>
          <w:rFonts w:hint="default" w:ascii="Segoe UI" w:hAnsi="Segoe UI" w:eastAsia="Segoe UI" w:cs="Segoe UI"/>
          <w:i w:val="0"/>
          <w:iCs w:val="0"/>
          <w:caps w:val="0"/>
          <w:color w:val="333333"/>
          <w:spacing w:val="0"/>
          <w:sz w:val="29"/>
          <w:szCs w:val="29"/>
        </w:rPr>
      </w:pPr>
      <w:r>
        <w:rPr>
          <w:rFonts w:hint="eastAsia" w:ascii="宋体" w:hAnsi="宋体" w:eastAsia="宋体" w:cs="宋体"/>
          <w:b/>
          <w:bCs/>
          <w:i w:val="0"/>
          <w:iCs w:val="0"/>
          <w:caps w:val="0"/>
          <w:color w:val="333333"/>
          <w:spacing w:val="0"/>
          <w:sz w:val="21"/>
          <w:szCs w:val="21"/>
          <w:shd w:val="clear" w:fill="FFFFFF"/>
        </w:rPr>
        <w:t>产品技术指标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18" w:lineRule="atLeast"/>
        <w:ind w:left="0" w:right="0" w:firstLine="0"/>
        <w:rPr>
          <w:rFonts w:hint="default" w:ascii="Segoe UI" w:hAnsi="Segoe UI" w:eastAsia="Segoe UI" w:cs="Segoe UI"/>
          <w:i w:val="0"/>
          <w:iCs w:val="0"/>
          <w:caps w:val="0"/>
          <w:color w:val="333333"/>
          <w:spacing w:val="0"/>
          <w:sz w:val="25"/>
          <w:szCs w:val="25"/>
        </w:rPr>
      </w:pPr>
      <w:r>
        <w:rPr>
          <w:rFonts w:hint="eastAsia" w:ascii="宋体" w:hAnsi="宋体" w:eastAsia="宋体" w:cs="宋体"/>
          <w:b/>
          <w:bCs/>
          <w:i w:val="0"/>
          <w:iCs w:val="0"/>
          <w:caps w:val="0"/>
          <w:color w:val="333333"/>
          <w:spacing w:val="0"/>
          <w:sz w:val="21"/>
          <w:szCs w:val="21"/>
          <w:shd w:val="clear" w:fill="FFFFFF"/>
        </w:rPr>
        <w:t>工作逻辑架构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14"/>
          <w:szCs w:val="14"/>
          <w:shd w:val="clear" w:fill="FFFFFF"/>
        </w:rPr>
        <w:drawing>
          <wp:inline distT="0" distB="0" distL="114300" distR="114300">
            <wp:extent cx="5295900" cy="1895475"/>
            <wp:effectExtent l="0" t="0" r="7620" b="9525"/>
            <wp:docPr id="3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67"/>
                    <pic:cNvPicPr>
                      <a:picLocks noChangeAspect="1"/>
                    </pic:cNvPicPr>
                  </pic:nvPicPr>
                  <pic:blipFill>
                    <a:blip r:embed="rId17"/>
                    <a:stretch>
                      <a:fillRect/>
                    </a:stretch>
                  </pic:blipFill>
                  <pic:spPr>
                    <a:xfrm>
                      <a:off x="0" y="0"/>
                      <a:ext cx="5295900" cy="1895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18" w:lineRule="atLeast"/>
        <w:ind w:left="0" w:right="0" w:firstLine="0"/>
        <w:rPr>
          <w:rFonts w:hint="default" w:ascii="Segoe UI" w:hAnsi="Segoe UI" w:eastAsia="Segoe UI" w:cs="Segoe UI"/>
          <w:i w:val="0"/>
          <w:iCs w:val="0"/>
          <w:caps w:val="0"/>
          <w:color w:val="333333"/>
          <w:spacing w:val="0"/>
          <w:sz w:val="25"/>
          <w:szCs w:val="25"/>
        </w:rPr>
      </w:pPr>
      <w:r>
        <w:rPr>
          <w:rFonts w:hint="eastAsia" w:ascii="宋体" w:hAnsi="宋体" w:eastAsia="宋体" w:cs="宋体"/>
          <w:b/>
          <w:bCs/>
          <w:i w:val="0"/>
          <w:iCs w:val="0"/>
          <w:caps w:val="0"/>
          <w:color w:val="333333"/>
          <w:spacing w:val="0"/>
          <w:sz w:val="21"/>
          <w:szCs w:val="21"/>
          <w:shd w:val="clear" w:fill="FFFFFF"/>
        </w:rPr>
        <w:t>a.——并网发电、离网备用功能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lang w:val="en-US" w:eastAsia="zh-CN"/>
        </w:rPr>
        <w:t>1、</w:t>
      </w:r>
      <w:r>
        <w:rPr>
          <w:rFonts w:hint="eastAsia" w:ascii="宋体" w:hAnsi="宋体" w:eastAsia="宋体" w:cs="宋体"/>
          <w:b w:val="0"/>
          <w:bCs w:val="0"/>
          <w:i w:val="0"/>
          <w:iCs w:val="0"/>
          <w:caps w:val="0"/>
          <w:color w:val="000000"/>
          <w:spacing w:val="0"/>
          <w:sz w:val="21"/>
          <w:szCs w:val="21"/>
          <w:shd w:val="clear" w:fill="FFFFFF"/>
        </w:rPr>
        <w:t>电网供电时，储能逆变器并网工作在恒压模式，维持蓄电池SOC在一定水平，光伏逆变器并网发电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lang w:val="en-US" w:eastAsia="zh-CN"/>
        </w:rPr>
        <w:t>2、</w:t>
      </w:r>
      <w:r>
        <w:rPr>
          <w:rFonts w:hint="eastAsia" w:ascii="宋体" w:hAnsi="宋体" w:eastAsia="宋体" w:cs="宋体"/>
          <w:b w:val="0"/>
          <w:bCs w:val="0"/>
          <w:i w:val="0"/>
          <w:iCs w:val="0"/>
          <w:caps w:val="0"/>
          <w:color w:val="000000"/>
          <w:spacing w:val="0"/>
          <w:sz w:val="21"/>
          <w:szCs w:val="21"/>
          <w:shd w:val="clear" w:fill="FFFFFF"/>
        </w:rPr>
        <w:t>微网供电时，储能逆变器工作在独立逆变模式建网，光伏逆变器并网工作，光伏发电大于负载时，光伏优先供负载供电，剩余电力给电池充电；光伏发电小于负载时，储能和光伏共同为负载供电。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lang w:val="en-US" w:eastAsia="zh-CN"/>
        </w:rPr>
        <w:t>3、</w:t>
      </w:r>
      <w:r>
        <w:rPr>
          <w:rFonts w:hint="eastAsia" w:ascii="宋体" w:hAnsi="宋体" w:eastAsia="宋体" w:cs="宋体"/>
          <w:b w:val="0"/>
          <w:bCs w:val="0"/>
          <w:i w:val="0"/>
          <w:iCs w:val="0"/>
          <w:caps w:val="0"/>
          <w:color w:val="000000"/>
          <w:spacing w:val="0"/>
          <w:sz w:val="21"/>
          <w:szCs w:val="21"/>
          <w:shd w:val="clear" w:fill="FFFFFF"/>
        </w:rPr>
        <w:t>可选择电网优先或微网优先，根据选择的模式进行供电逻辑切换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lang w:val="en-US" w:eastAsia="zh-CN"/>
        </w:rPr>
        <w:t>4、</w:t>
      </w:r>
      <w:r>
        <w:rPr>
          <w:rFonts w:hint="eastAsia" w:ascii="宋体" w:hAnsi="宋体" w:eastAsia="宋体" w:cs="宋体"/>
          <w:b w:val="0"/>
          <w:bCs w:val="0"/>
          <w:i w:val="0"/>
          <w:iCs w:val="0"/>
          <w:caps w:val="0"/>
          <w:color w:val="000000"/>
          <w:spacing w:val="0"/>
          <w:sz w:val="21"/>
          <w:szCs w:val="21"/>
          <w:shd w:val="clear" w:fill="FFFFFF"/>
        </w:rPr>
        <w:t>触摸屏控制启动、停止和参数设置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18" w:lineRule="atLeast"/>
        <w:ind w:left="0" w:right="0" w:firstLine="0"/>
        <w:rPr>
          <w:rFonts w:hint="default" w:ascii="Segoe UI" w:hAnsi="Segoe UI" w:eastAsia="Segoe UI" w:cs="Segoe UI"/>
          <w:i w:val="0"/>
          <w:iCs w:val="0"/>
          <w:caps w:val="0"/>
          <w:color w:val="333333"/>
          <w:spacing w:val="0"/>
          <w:sz w:val="25"/>
          <w:szCs w:val="25"/>
        </w:rPr>
      </w:pPr>
      <w:r>
        <w:rPr>
          <w:rFonts w:hint="eastAsia" w:ascii="宋体" w:hAnsi="宋体" w:eastAsia="宋体" w:cs="宋体"/>
          <w:b/>
          <w:bCs/>
          <w:i w:val="0"/>
          <w:iCs w:val="0"/>
          <w:caps w:val="0"/>
          <w:color w:val="333333"/>
          <w:spacing w:val="0"/>
          <w:sz w:val="21"/>
          <w:szCs w:val="21"/>
          <w:shd w:val="clear" w:fill="FFFFFF"/>
        </w:rPr>
        <w:t>b. ——电网（或柴油机）、微网切换功能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lang w:val="en-US" w:eastAsia="zh-CN"/>
        </w:rPr>
        <w:t>1、</w:t>
      </w:r>
      <w:r>
        <w:rPr>
          <w:rFonts w:hint="eastAsia" w:ascii="宋体" w:hAnsi="宋体" w:eastAsia="宋体" w:cs="宋体"/>
          <w:b w:val="0"/>
          <w:bCs w:val="0"/>
          <w:i w:val="0"/>
          <w:iCs w:val="0"/>
          <w:caps w:val="0"/>
          <w:color w:val="000000"/>
          <w:spacing w:val="0"/>
          <w:sz w:val="21"/>
          <w:szCs w:val="21"/>
          <w:shd w:val="clear" w:fill="FFFFFF"/>
        </w:rPr>
        <w:t>电网供电时，当电池组SOC超过设定值时，储能逆变器和光伏逆变器不工作；当电池组SOC不足时，储能逆变器独立逆变建网，光伏逆变器并网工作，给电池组充电。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lang w:val="en-US" w:eastAsia="zh-CN"/>
        </w:rPr>
        <w:t>2、</w:t>
      </w:r>
      <w:r>
        <w:rPr>
          <w:rFonts w:hint="eastAsia" w:ascii="宋体" w:hAnsi="宋体" w:eastAsia="宋体" w:cs="宋体"/>
          <w:b w:val="0"/>
          <w:bCs w:val="0"/>
          <w:i w:val="0"/>
          <w:iCs w:val="0"/>
          <w:caps w:val="0"/>
          <w:color w:val="000000"/>
          <w:spacing w:val="0"/>
          <w:sz w:val="21"/>
          <w:szCs w:val="21"/>
          <w:shd w:val="clear" w:fill="FFFFFF"/>
        </w:rPr>
        <w:t>微网供电时，储能逆变器工作在独立逆变模式建网，光伏逆变器并网工作，光伏发电大于负载时，光伏优先供负载供电，剩余电力给电池充电；光伏发电小于负载时，储能和光伏共同为负载供电。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lang w:val="en-US" w:eastAsia="zh-CN"/>
        </w:rPr>
        <w:t>3、</w:t>
      </w:r>
      <w:r>
        <w:rPr>
          <w:rFonts w:hint="eastAsia" w:ascii="宋体" w:hAnsi="宋体" w:eastAsia="宋体" w:cs="宋体"/>
          <w:b w:val="0"/>
          <w:bCs w:val="0"/>
          <w:i w:val="0"/>
          <w:iCs w:val="0"/>
          <w:caps w:val="0"/>
          <w:color w:val="000000"/>
          <w:spacing w:val="0"/>
          <w:sz w:val="21"/>
          <w:szCs w:val="21"/>
          <w:shd w:val="clear" w:fill="FFFFFF"/>
        </w:rPr>
        <w:t>可选择电网优先或微网优先，根据选择的模式进行供电逻辑切换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lang w:val="en-US" w:eastAsia="zh-CN"/>
        </w:rPr>
        <w:t>4、</w:t>
      </w:r>
      <w:r>
        <w:rPr>
          <w:rFonts w:hint="eastAsia" w:ascii="宋体" w:hAnsi="宋体" w:eastAsia="宋体" w:cs="宋体"/>
          <w:b w:val="0"/>
          <w:bCs w:val="0"/>
          <w:i w:val="0"/>
          <w:iCs w:val="0"/>
          <w:caps w:val="0"/>
          <w:color w:val="000000"/>
          <w:spacing w:val="0"/>
          <w:sz w:val="21"/>
          <w:szCs w:val="21"/>
          <w:shd w:val="clear" w:fill="FFFFFF"/>
        </w:rPr>
        <w:t>触摸屏控制启动、停止和参数设置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00" w:right="0"/>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储能蓄电池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00"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蓄电池的作用主要是储存能量，在晚上或多云等气候情况下，光伏阵列不能提供足够的能量时，蓄电池供给负载，保证系统的正常运行。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00"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采用磷酸铁锂电池， 安全性高适合长期充放电循环模块化设计， 电压、容量按需配置。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00"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系统由1个主控模块和多个电池模块组成，通过 48V电池模块串联组成不同电压等级系统，通过多个机柜并联， 可以在同一个电压平台上扩展容量定制化电池管理系统 （BMS） ， 实时进行数据采集、 状态监控及控制， 保证系统安全可靠运行。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00" w:right="0"/>
        <w:jc w:val="center"/>
        <w:rPr>
          <w:rFonts w:hint="default" w:ascii="Calibri" w:hAnsi="Calibri" w:cs="Calibri"/>
          <w:b w:val="0"/>
          <w:bCs w:val="0"/>
          <w:i w:val="0"/>
          <w:iCs w:val="0"/>
          <w:color w:val="000000"/>
          <w:sz w:val="21"/>
          <w:szCs w:val="21"/>
        </w:rPr>
      </w:pPr>
      <w:r>
        <w:rPr>
          <w:rFonts w:hint="default" w:ascii="Calibri" w:hAnsi="Calibri" w:eastAsia="宋体" w:cs="Calibri"/>
          <w:b w:val="0"/>
          <w:bCs w:val="0"/>
          <w:i w:val="0"/>
          <w:iCs w:val="0"/>
          <w:caps w:val="0"/>
          <w:color w:val="000000"/>
          <w:spacing w:val="0"/>
          <w:sz w:val="21"/>
          <w:szCs w:val="21"/>
          <w:shd w:val="clear" w:fill="FFFFFF"/>
        </w:rPr>
        <w:drawing>
          <wp:inline distT="0" distB="0" distL="114300" distR="114300">
            <wp:extent cx="2078990" cy="2590165"/>
            <wp:effectExtent l="0" t="0" r="8890" b="635"/>
            <wp:docPr id="3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IMG_268"/>
                    <pic:cNvPicPr>
                      <a:picLocks noChangeAspect="1"/>
                    </pic:cNvPicPr>
                  </pic:nvPicPr>
                  <pic:blipFill>
                    <a:blip r:embed="rId18"/>
                    <a:stretch>
                      <a:fillRect/>
                    </a:stretch>
                  </pic:blipFill>
                  <pic:spPr>
                    <a:xfrm>
                      <a:off x="0" y="0"/>
                      <a:ext cx="2078990" cy="2590165"/>
                    </a:xfrm>
                    <a:prstGeom prst="rect">
                      <a:avLst/>
                    </a:prstGeom>
                    <a:noFill/>
                    <a:ln w="9525">
                      <a:noFill/>
                    </a:ln>
                  </pic:spPr>
                </pic:pic>
              </a:graphicData>
            </a:graphic>
          </wp:inline>
        </w:drawing>
      </w:r>
      <w:r>
        <w:rPr>
          <w:rFonts w:hint="eastAsia" w:ascii="宋体" w:hAnsi="宋体" w:eastAsia="宋体" w:cs="宋体"/>
          <w:b w:val="0"/>
          <w:bCs w:val="0"/>
          <w:i w:val="0"/>
          <w:iCs w:val="0"/>
          <w:caps w:val="0"/>
          <w:color w:val="000000"/>
          <w:spacing w:val="0"/>
          <w:sz w:val="21"/>
          <w:szCs w:val="21"/>
          <w:shd w:val="clear" w:fill="FFFFFF"/>
        </w:rPr>
        <w:t> </w:t>
      </w:r>
      <w:r>
        <w:rPr>
          <w:rFonts w:hint="default" w:ascii="Calibri" w:hAnsi="Calibri" w:eastAsia="宋体" w:cs="Calibri"/>
          <w:b w:val="0"/>
          <w:bCs w:val="0"/>
          <w:i w:val="0"/>
          <w:iCs w:val="0"/>
          <w:caps w:val="0"/>
          <w:color w:val="000000"/>
          <w:spacing w:val="0"/>
          <w:sz w:val="21"/>
          <w:szCs w:val="21"/>
          <w:shd w:val="clear" w:fill="FFFFFF"/>
        </w:rPr>
        <w:drawing>
          <wp:inline distT="0" distB="0" distL="114300" distR="114300">
            <wp:extent cx="2313305" cy="2722245"/>
            <wp:effectExtent l="0" t="0" r="3175" b="5715"/>
            <wp:docPr id="3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69"/>
                    <pic:cNvPicPr>
                      <a:picLocks noChangeAspect="1"/>
                    </pic:cNvPicPr>
                  </pic:nvPicPr>
                  <pic:blipFill>
                    <a:blip r:embed="rId19"/>
                    <a:stretch>
                      <a:fillRect/>
                    </a:stretch>
                  </pic:blipFill>
                  <pic:spPr>
                    <a:xfrm>
                      <a:off x="0" y="0"/>
                      <a:ext cx="2313305" cy="272224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00" w:right="0"/>
        <w:jc w:val="left"/>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规格参数：</w:t>
      </w:r>
    </w:p>
    <w:tbl>
      <w:tblPr>
        <w:tblStyle w:val="7"/>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558"/>
        <w:gridCol w:w="2956"/>
        <w:gridCol w:w="33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8" w:hRule="atLeast"/>
          <w:jc w:val="center"/>
        </w:trPr>
        <w:tc>
          <w:tcPr>
            <w:tcW w:w="1558"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类别</w:t>
            </w:r>
          </w:p>
        </w:tc>
        <w:tc>
          <w:tcPr>
            <w:tcW w:w="2956"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基本参数</w:t>
            </w:r>
          </w:p>
        </w:tc>
        <w:tc>
          <w:tcPr>
            <w:tcW w:w="339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高压直流储能系统</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58" w:hRule="atLeast"/>
          <w:jc w:val="center"/>
        </w:trPr>
        <w:tc>
          <w:tcPr>
            <w:tcW w:w="1558"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标称参数</w:t>
            </w: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标称电压（V）</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48*N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58" w:hRule="atLeast"/>
          <w:jc w:val="center"/>
        </w:trPr>
        <w:tc>
          <w:tcPr>
            <w:tcW w:w="1558"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标称容量（AH）</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58" w:hRule="atLeast"/>
          <w:jc w:val="center"/>
        </w:trPr>
        <w:tc>
          <w:tcPr>
            <w:tcW w:w="1558"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结构参数</w:t>
            </w: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电池模块尺寸（mm）</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440*410*89（W*D*H）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58" w:hRule="atLeast"/>
          <w:jc w:val="center"/>
        </w:trPr>
        <w:tc>
          <w:tcPr>
            <w:tcW w:w="1558"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电池模块重量（KG）</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24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58" w:hRule="atLeast"/>
          <w:jc w:val="center"/>
        </w:trPr>
        <w:tc>
          <w:tcPr>
            <w:tcW w:w="1558"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主控模块尺寸（MM）</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440*350*132（W*D*H）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8" w:hRule="atLeast"/>
          <w:jc w:val="center"/>
        </w:trPr>
        <w:tc>
          <w:tcPr>
            <w:tcW w:w="1558"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主控模块重量（KG）</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8" w:hRule="atLeast"/>
          <w:jc w:val="center"/>
        </w:trPr>
        <w:tc>
          <w:tcPr>
            <w:tcW w:w="1558"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电气参数</w:t>
            </w: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放电电压（V)</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（54-45）*N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8" w:hRule="atLeast"/>
          <w:jc w:val="center"/>
        </w:trPr>
        <w:tc>
          <w:tcPr>
            <w:tcW w:w="1558"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充电电压（V)</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（52.5-54）*N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8" w:hRule="atLeast"/>
          <w:jc w:val="center"/>
        </w:trPr>
        <w:tc>
          <w:tcPr>
            <w:tcW w:w="1558"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额定放电电流（A)</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69" w:hRule="atLeast"/>
          <w:jc w:val="center"/>
        </w:trPr>
        <w:tc>
          <w:tcPr>
            <w:tcW w:w="1558"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956"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额定充电电流（A)</w:t>
            </w:r>
          </w:p>
        </w:tc>
        <w:tc>
          <w:tcPr>
            <w:tcW w:w="339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25</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氢燃料电池发电系统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燃料电池采用空冷自增湿的PEMFC电池，减少了水泵、水箱、增湿器、增压泵等附属设备，使电堆控制更简洁、可靠。燃料电池系统除了核心部分质子交换膜燃料电池堆外，还需要一些辅助器件发电系统才能正常工作。总的来说，一个完整的燃料电池系统大致上由燃料电池发电系统和控制系统两大部分组成，如图2所示。其中，燃料电池发电系统主要由质子交换膜燃料电池堆、氢气供应单元、氧气或空气供应单元、DC/DC四部分组成。而控制单元部分属于控制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14"/>
          <w:szCs w:val="14"/>
          <w:shd w:val="clear" w:fill="FFFFFF"/>
        </w:rPr>
        <w:drawing>
          <wp:inline distT="0" distB="0" distL="114300" distR="114300">
            <wp:extent cx="4381500" cy="2362200"/>
            <wp:effectExtent l="0" t="0" r="7620" b="0"/>
            <wp:docPr id="3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IMG_270"/>
                    <pic:cNvPicPr>
                      <a:picLocks noChangeAspect="1"/>
                    </pic:cNvPicPr>
                  </pic:nvPicPr>
                  <pic:blipFill>
                    <a:blip r:embed="rId20"/>
                    <a:stretch>
                      <a:fillRect/>
                    </a:stretch>
                  </pic:blipFill>
                  <pic:spPr>
                    <a:xfrm>
                      <a:off x="0" y="0"/>
                      <a:ext cx="4381500" cy="23622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燃料电池发电系统组成示意图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燃料电池发电系统组成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1、燃料电池堆：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氢气和氧气在其内部发生电化学反应并释放电能，是整个系统的核心。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2、氢气供应单元（H2）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本系统指由制氢设备，储氢系统及供氢管路组成。制氢设备制氢，并由储氢系统通过管路向燃料电池堆提供特定压力的氢气。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3、空气供应单元：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不间断地向燃料电池提供电化学反应所需的氧气，以确保质子交换膜燃料电池实现连续稳定的运行发电。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4、DC/DC：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氢燃料电池所产生的电能为直流电，其输出电压不仅受内阻影响而且随着负载的变化而改变。因此，为保证供电性能的稳定，在燃料电池系统输出端，须配置功率变换单元DC/DC，主要保证负载连续变化时，将输出电压稳定在合适的范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5、控制单元：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控制单元是燃料电池发电系统的核心，用来接收数据采集系统采集的数据，并对它们进行分析，根据分析的结果来控制执行机构完成相应的动作。空冷自增湿燃料电池发电系统的控制单元通过控制系统、风扇、电磁阀即可保证燃料电池正常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14"/>
          <w:szCs w:val="14"/>
          <w:shd w:val="clear" w:fill="FFFFFF"/>
        </w:rPr>
        <w:drawing>
          <wp:inline distT="0" distB="0" distL="114300" distR="114300">
            <wp:extent cx="2333625" cy="2819400"/>
            <wp:effectExtent l="0" t="0" r="13335" b="0"/>
            <wp:docPr id="3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IMG_271"/>
                    <pic:cNvPicPr>
                      <a:picLocks noChangeAspect="1"/>
                    </pic:cNvPicPr>
                  </pic:nvPicPr>
                  <pic:blipFill>
                    <a:blip r:embed="rId21"/>
                    <a:stretch>
                      <a:fillRect/>
                    </a:stretch>
                  </pic:blipFill>
                  <pic:spPr>
                    <a:xfrm>
                      <a:off x="0" y="0"/>
                      <a:ext cx="2333625" cy="2819400"/>
                    </a:xfrm>
                    <a:prstGeom prst="rect">
                      <a:avLst/>
                    </a:prstGeom>
                    <a:noFill/>
                    <a:ln w="9525">
                      <a:noFill/>
                    </a:ln>
                  </pic:spPr>
                </pic:pic>
              </a:graphicData>
            </a:graphic>
          </wp:inline>
        </w:drawing>
      </w:r>
      <w:r>
        <w:rPr>
          <w:rFonts w:hint="eastAsia" w:ascii="宋体" w:hAnsi="宋体" w:eastAsia="宋体" w:cs="宋体"/>
          <w:i w:val="0"/>
          <w:iCs w:val="0"/>
          <w:caps w:val="0"/>
          <w:color w:val="1F1F1F"/>
          <w:spacing w:val="0"/>
          <w:sz w:val="24"/>
          <w:szCs w:val="24"/>
          <w:shd w:val="clear" w:fill="FFFFFF"/>
        </w:rPr>
        <w:t> </w:t>
      </w:r>
      <w:r>
        <w:rPr>
          <w:rFonts w:hint="eastAsia" w:ascii="宋体" w:hAnsi="宋体" w:eastAsia="宋体" w:cs="宋体"/>
          <w:i w:val="0"/>
          <w:iCs w:val="0"/>
          <w:caps w:val="0"/>
          <w:color w:val="1F1F1F"/>
          <w:spacing w:val="0"/>
          <w:sz w:val="14"/>
          <w:szCs w:val="14"/>
          <w:shd w:val="clear" w:fill="FFFFFF"/>
        </w:rPr>
        <w:drawing>
          <wp:inline distT="0" distB="0" distL="114300" distR="114300">
            <wp:extent cx="2543175" cy="2905125"/>
            <wp:effectExtent l="0" t="0" r="1905" b="5715"/>
            <wp:docPr id="4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IMG_272"/>
                    <pic:cNvPicPr>
                      <a:picLocks noChangeAspect="1"/>
                    </pic:cNvPicPr>
                  </pic:nvPicPr>
                  <pic:blipFill>
                    <a:blip r:embed="rId22"/>
                    <a:stretch>
                      <a:fillRect/>
                    </a:stretch>
                  </pic:blipFill>
                  <pic:spPr>
                    <a:xfrm>
                      <a:off x="0" y="0"/>
                      <a:ext cx="2543175" cy="29051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燃料电池系统工作示意图</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15"/>
        <w:gridCol w:w="2448"/>
        <w:gridCol w:w="39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tcBorders>
              <w:top w:val="single" w:color="000000" w:sz="12" w:space="0"/>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类型</w:t>
            </w:r>
          </w:p>
        </w:tc>
        <w:tc>
          <w:tcPr>
            <w:tcW w:w="6870" w:type="dxa"/>
            <w:gridSpan w:val="2"/>
            <w:tcBorders>
              <w:top w:val="single" w:color="000000" w:sz="12" w:space="0"/>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基于PASH技术的空冷自增湿燃料电池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restart"/>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性能</w:t>
            </w: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额定功率</w:t>
            </w:r>
          </w:p>
        </w:tc>
        <w:tc>
          <w:tcPr>
            <w:tcW w:w="4185" w:type="dxa"/>
            <w:tcBorders>
              <w:top w:val="single" w:color="000000" w:sz="12" w:space="0"/>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2500W*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额定电压</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48V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额定电流</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52.5A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电压范围</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36-58V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燃料效率</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restart"/>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燃料</w:t>
            </w: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氢气纯度</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≥99.95％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氢气工作压力</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0.5-0.6Bar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氢气消耗量</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13.1L/min(额定功率)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restart"/>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氧化剂/冷却剂</w:t>
            </w:r>
          </w:p>
        </w:tc>
        <w:tc>
          <w:tcPr>
            <w:tcW w:w="6870" w:type="dxa"/>
            <w:gridSpan w:val="2"/>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空气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空气压力</w:t>
            </w:r>
          </w:p>
        </w:tc>
        <w:tc>
          <w:tcPr>
            <w:tcW w:w="4185" w:type="dxa"/>
            <w:tcBorders>
              <w:top w:val="single" w:color="000000" w:sz="12" w:space="0"/>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常压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restart"/>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物流特性</w:t>
            </w: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质量</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6600g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系统体积（长宽高）</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850mm×900mm×860mm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restart"/>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工作条件</w:t>
            </w: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环境温度</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2250" w:type="dxa"/>
            <w:vMerge w:val="continue"/>
            <w:tcBorders>
              <w:top w:val="nil"/>
              <w:left w:val="single" w:color="000000" w:sz="12" w:space="0"/>
              <w:bottom w:val="single" w:color="000000" w:sz="12" w:space="0"/>
              <w:right w:val="single" w:color="000000" w:sz="12" w:space="0"/>
            </w:tcBorders>
            <w:shd w:val="clear" w:color="auto" w:fill="FFFFFF"/>
            <w:tcMar>
              <w:top w:w="45" w:type="dxa"/>
              <w:left w:w="45" w:type="dxa"/>
              <w:bottom w:w="45" w:type="dxa"/>
              <w:right w:w="45" w:type="dxa"/>
            </w:tcMar>
            <w:vAlign w:val="center"/>
          </w:tcPr>
          <w:p>
            <w:pPr>
              <w:rPr>
                <w:rFonts w:hint="eastAsia" w:ascii="宋体"/>
                <w:color w:val="666666"/>
                <w:sz w:val="24"/>
                <w:szCs w:val="24"/>
              </w:rPr>
            </w:pPr>
          </w:p>
        </w:tc>
        <w:tc>
          <w:tcPr>
            <w:tcW w:w="26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环境湿度（RH）</w:t>
            </w:r>
          </w:p>
        </w:tc>
        <w:tc>
          <w:tcPr>
            <w:tcW w:w="4185" w:type="dxa"/>
            <w:tcBorders>
              <w:top w:val="nil"/>
              <w:left w:val="nil"/>
              <w:bottom w:val="single" w:color="000000" w:sz="12" w:space="0"/>
              <w:right w:val="single" w:color="000000" w:sz="12"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10％－95％</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注：带*的数据是在15℃-30℃的环境温度范围和30 - 90%的环境湿度范围内取得的。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14"/>
          <w:szCs w:val="14"/>
          <w:shd w:val="clear" w:fill="FFFFFF"/>
        </w:rPr>
        <w:drawing>
          <wp:inline distT="0" distB="0" distL="114300" distR="114300">
            <wp:extent cx="4848225" cy="2762250"/>
            <wp:effectExtent l="0" t="0" r="13335" b="11430"/>
            <wp:docPr id="4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descr="IMG_273"/>
                    <pic:cNvPicPr>
                      <a:picLocks noChangeAspect="1"/>
                    </pic:cNvPicPr>
                  </pic:nvPicPr>
                  <pic:blipFill>
                    <a:blip r:embed="rId23"/>
                    <a:stretch>
                      <a:fillRect/>
                    </a:stretch>
                  </pic:blipFill>
                  <pic:spPr>
                    <a:xfrm>
                      <a:off x="0" y="0"/>
                      <a:ext cx="4848225" cy="27622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jc w:val="center"/>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燃料电池系统性能曲线图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2.4 制氢系统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l制氢系统的原理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工业软水经纯水装置制取纯水，并送入原料水箱，经补水泵输入碱液系统，补充被电解消耗的水。电解槽中的水，在直流电的作用下被分解成H2与O2，并与循环电解液一起分别进入框架中的氢、氧分离洗涤器后进行气液分离、洗涤、冷却。分离后的电解液与补充的纯水混合后，经碱液冷却器、碱液循环泵、过滤器送回电解槽循环，电解。调节碱液冷却器冷却水流量，控制回流碱液的温度，来控制电解槽的工作温度，使系统安全运行。分离后的氢气由调节阀控制输出，送入氢气储罐，再经缓冲减压后，供用户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l本项目中采用的制氢系统其具体规格如下：</w:t>
      </w:r>
    </w:p>
    <w:tbl>
      <w:tblPr>
        <w:tblStyle w:val="7"/>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3575"/>
        <w:gridCol w:w="482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3750" w:type="dxa"/>
            <w:tcBorders>
              <w:top w:val="single" w:color="999999" w:sz="8" w:space="0"/>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氢气产量</w:t>
            </w:r>
          </w:p>
        </w:tc>
        <w:tc>
          <w:tcPr>
            <w:tcW w:w="5028" w:type="dxa"/>
            <w:tcBorders>
              <w:top w:val="single" w:color="999999" w:sz="8" w:space="0"/>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800L/h（1atm）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750"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氢气纯度</w:t>
            </w:r>
          </w:p>
        </w:tc>
        <w:tc>
          <w:tcPr>
            <w:tcW w:w="5028"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≥99.8%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750"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氧气纯度</w:t>
            </w:r>
          </w:p>
        </w:tc>
        <w:tc>
          <w:tcPr>
            <w:tcW w:w="5028"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≥99.3%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750"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工作压力</w:t>
            </w:r>
          </w:p>
        </w:tc>
        <w:tc>
          <w:tcPr>
            <w:tcW w:w="5028"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0.8MPa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3750" w:type="dxa"/>
            <w:tcBorders>
              <w:top w:val="nil"/>
              <w:left w:val="single" w:color="999999" w:sz="8" w:space="0"/>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直流电耗</w:t>
            </w:r>
          </w:p>
        </w:tc>
        <w:tc>
          <w:tcPr>
            <w:tcW w:w="5028" w:type="dxa"/>
            <w:tcBorders>
              <w:top w:val="nil"/>
              <w:left w:val="nil"/>
              <w:bottom w:val="single" w:color="999999" w:sz="8" w:space="0"/>
              <w:right w:val="single" w:color="999999" w:sz="8" w:space="0"/>
            </w:tcBorders>
            <w:shd w:val="clear" w:color="auto" w:fill="FFFFFF"/>
            <w:tcMar>
              <w:top w:w="45" w:type="dxa"/>
              <w:left w:w="45" w:type="dxa"/>
              <w:bottom w:w="45" w:type="dxa"/>
              <w:right w:w="4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center"/>
            </w:pPr>
            <w:r>
              <w:rPr>
                <w:rFonts w:hint="eastAsia" w:ascii="宋体" w:hAnsi="宋体" w:eastAsia="宋体" w:cs="宋体"/>
                <w:color w:val="666666"/>
                <w:sz w:val="21"/>
                <w:szCs w:val="21"/>
              </w:rPr>
              <w:t>＜5KWh/m3</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left"/>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 制氢系统设备规格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52" w:afterAutospacing="0" w:line="300"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注：系统接入具备AC/DC模块，具备AC交流接入能力。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both"/>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高纯氢气发生器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jc w:val="both"/>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输出流量 0～1000ml</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jc w:val="both"/>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功率 510W</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jc w:val="both"/>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输出压力 0～1.1 MPa</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jc w:val="both"/>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电源电压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jc w:val="both"/>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交流220V±10%； 50Hz±5%</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jc w:val="both"/>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工作条件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jc w:val="both"/>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温度：5～42℃</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jc w:val="both"/>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相对湿度：≤85%；</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2.5 超级电容及控制系统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此超级电容系统以48V165F模组为基础单元，采用3串的连接方式配组，配备有iCMS管理系统。系统由超级电容模组、BMS管理系统、5KW双向DC-DC模块、信息显示终端组成。</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1） 48V165F模组参数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1、容量：165F(0～20%)；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2、额定工作电压：48V；</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3、等效直流内阻（25℃）：不大于5mΩ；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4、最大持续电流(ΔC=40℃)：150A；</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5、漏电流：不大于5.2mA(25℃，72小时后)；</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6、最大存储能量：52.8Wh；</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7、工作温度：-40℃~+65℃</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8、储存温度：-40℃~+70℃</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2） 整体系统主要技术性能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1、总电容量：55F(0～20%)；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2、电压范围：120V-135V;</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3、最大持续电流(ΔT=40℃)：150A；</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4、瞬时电流(1s内)：2000A</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5、等效直流内阻：不大于18mΩ；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6、通讯：采用MODBUS_RS485；</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7、CMS功能：检测单个模组电压、整体电压、单个模组温度、工作电流，并通过协议上传及接受上位机命令；实现过压报警、过温报警、过流报警；系统过压、过温、过流达到设定值时，管理系统可控制系统断开，实现对系统的保护。</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3） 超级电容使用环境及要求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1、环境温度:-10℃至45℃；</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2、最大湿度：90%(无凝露)；</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3、防潮/防尘：符合SAE J2380技术规范；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4、使用海拔高度(m)：0～4000。</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4） 信息显示终端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通过该信息终端与BMS系统、双向</w:t>
      </w:r>
      <w:r>
        <w:rPr>
          <w:rFonts w:hint="default" w:ascii="Calibri" w:hAnsi="Calibri" w:eastAsia="宋体" w:cs="Calibri"/>
          <w:b w:val="0"/>
          <w:bCs w:val="0"/>
          <w:i w:val="0"/>
          <w:iCs w:val="0"/>
          <w:caps w:val="0"/>
          <w:color w:val="000000"/>
          <w:spacing w:val="0"/>
          <w:sz w:val="21"/>
          <w:szCs w:val="21"/>
          <w:shd w:val="clear" w:fill="FFFFFF"/>
        </w:rPr>
        <w:t>DC-DC</w:t>
      </w:r>
      <w:r>
        <w:rPr>
          <w:rFonts w:hint="eastAsia" w:ascii="宋体" w:hAnsi="宋体" w:eastAsia="宋体" w:cs="宋体"/>
          <w:b w:val="0"/>
          <w:bCs w:val="0"/>
          <w:i w:val="0"/>
          <w:iCs w:val="0"/>
          <w:caps w:val="0"/>
          <w:color w:val="000000"/>
          <w:spacing w:val="0"/>
          <w:sz w:val="21"/>
          <w:szCs w:val="21"/>
          <w:shd w:val="clear" w:fill="FFFFFF"/>
        </w:rPr>
        <w:t>系统的结合，可以快速、方便的开发各种用于现场采集、数据处理和控制的设备。具有可显示、可配置系统的各种参数以及通过对设备间数据采集的同时实现对超级电容系统的有效管理。</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274" w:right="0"/>
        <w:jc w:val="center"/>
        <w:rPr>
          <w:rFonts w:hint="default" w:ascii="Calibri" w:hAnsi="Calibri" w:cs="Calibri"/>
          <w:b w:val="0"/>
          <w:bCs w:val="0"/>
          <w:i w:val="0"/>
          <w:iCs w:val="0"/>
          <w:color w:val="000000"/>
          <w:sz w:val="21"/>
          <w:szCs w:val="21"/>
        </w:rPr>
      </w:pPr>
      <w:r>
        <w:rPr>
          <w:rFonts w:hint="default" w:ascii="Calibri" w:hAnsi="Calibri" w:eastAsia="宋体" w:cs="Calibri"/>
          <w:b w:val="0"/>
          <w:bCs w:val="0"/>
          <w:i w:val="0"/>
          <w:iCs w:val="0"/>
          <w:caps w:val="0"/>
          <w:color w:val="000000"/>
          <w:spacing w:val="0"/>
          <w:sz w:val="21"/>
          <w:szCs w:val="21"/>
          <w:shd w:val="clear" w:fill="FFFFFF"/>
        </w:rPr>
        <w:drawing>
          <wp:inline distT="0" distB="0" distL="114300" distR="114300">
            <wp:extent cx="4486275" cy="3838575"/>
            <wp:effectExtent l="0" t="0" r="9525" b="1905"/>
            <wp:docPr id="3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descr="IMG_274"/>
                    <pic:cNvPicPr>
                      <a:picLocks noChangeAspect="1"/>
                    </pic:cNvPicPr>
                  </pic:nvPicPr>
                  <pic:blipFill>
                    <a:blip r:embed="rId24"/>
                    <a:stretch>
                      <a:fillRect/>
                    </a:stretch>
                  </pic:blipFill>
                  <pic:spPr>
                    <a:xfrm>
                      <a:off x="0" y="0"/>
                      <a:ext cx="4486275" cy="3838575"/>
                    </a:xfrm>
                    <a:prstGeom prst="rect">
                      <a:avLst/>
                    </a:prstGeom>
                    <a:noFill/>
                    <a:ln w="9525">
                      <a:noFill/>
                    </a:ln>
                  </pic:spPr>
                </pic:pic>
              </a:graphicData>
            </a:graphic>
          </wp:inline>
        </w:drawing>
      </w:r>
      <w:r>
        <w:rPr>
          <w:rFonts w:hint="default" w:ascii="Calibri" w:hAnsi="Calibri" w:eastAsia="宋体" w:cs="Calibri"/>
          <w:b w:val="0"/>
          <w:bCs w:val="0"/>
          <w:i w:val="0"/>
          <w:iCs w:val="0"/>
          <w:caps w:val="0"/>
          <w:color w:val="000000"/>
          <w:spacing w:val="0"/>
          <w:sz w:val="21"/>
          <w:szCs w:val="21"/>
          <w:shd w:val="clear" w:fill="FFFFFF"/>
        </w:rPr>
        <w:drawing>
          <wp:inline distT="0" distB="0" distL="114300" distR="114300">
            <wp:extent cx="4476750" cy="4162425"/>
            <wp:effectExtent l="0" t="0" r="3810" b="13335"/>
            <wp:docPr id="4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descr="IMG_275"/>
                    <pic:cNvPicPr>
                      <a:picLocks noChangeAspect="1"/>
                    </pic:cNvPicPr>
                  </pic:nvPicPr>
                  <pic:blipFill>
                    <a:blip r:embed="rId25"/>
                    <a:stretch>
                      <a:fillRect/>
                    </a:stretch>
                  </pic:blipFill>
                  <pic:spPr>
                    <a:xfrm>
                      <a:off x="0" y="0"/>
                      <a:ext cx="4476750" cy="4162425"/>
                    </a:xfrm>
                    <a:prstGeom prst="rect">
                      <a:avLst/>
                    </a:prstGeom>
                    <a:noFill/>
                    <a:ln w="9525">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jc w:val="left"/>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5）双向DC-DC电源模块</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双向DC-DC变换器(Bi-directional DC/DC Converter, BDC)是能够根据能量的需要调节能量双向传输、是可双象限运行的直流-直流变换器。该变换器能够根据实际需要调节能量的流动方向，在功能上相当于两个单向直流-直流变换器。</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一．双向DCDC变换器的工作模式</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8768" w:right="0" w:hanging="360"/>
        <w:rPr>
          <w:rFonts w:hint="eastAsia" w:ascii="宋体" w:hAnsi="宋体" w:eastAsia="宋体" w:cs="宋体"/>
          <w:b/>
          <w:bCs/>
          <w:i w:val="0"/>
          <w:iCs w:val="0"/>
          <w:color w:val="1F1F1F"/>
          <w:sz w:val="21"/>
          <w:szCs w:val="21"/>
        </w:rPr>
      </w:pPr>
    </w:p>
    <w:tbl>
      <w:tblPr>
        <w:tblStyle w:val="7"/>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663"/>
        <w:gridCol w:w="2344"/>
        <w:gridCol w:w="2763"/>
        <w:gridCol w:w="270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3007"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76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作用在高压侧</w:t>
            </w:r>
          </w:p>
        </w:tc>
        <w:tc>
          <w:tcPr>
            <w:tcW w:w="270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作用在低压侧</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663"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类别</w:t>
            </w:r>
          </w:p>
        </w:tc>
        <w:tc>
          <w:tcPr>
            <w:tcW w:w="23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恒流输出</w:t>
            </w:r>
          </w:p>
        </w:tc>
        <w:tc>
          <w:tcPr>
            <w:tcW w:w="27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高压侧恒流输出</w:t>
            </w:r>
          </w:p>
        </w:tc>
        <w:tc>
          <w:tcPr>
            <w:tcW w:w="270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低压侧恒流输出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663"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3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恒流输入</w:t>
            </w:r>
          </w:p>
        </w:tc>
        <w:tc>
          <w:tcPr>
            <w:tcW w:w="27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高压侧恒流输入</w:t>
            </w:r>
          </w:p>
        </w:tc>
        <w:tc>
          <w:tcPr>
            <w:tcW w:w="27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低压侧恒流输入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663"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3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恒压</w:t>
            </w:r>
          </w:p>
        </w:tc>
        <w:tc>
          <w:tcPr>
            <w:tcW w:w="27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高压侧恒压</w:t>
            </w:r>
          </w:p>
        </w:tc>
        <w:tc>
          <w:tcPr>
            <w:tcW w:w="27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低压侧恒压</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63"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3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MPPT输入</w:t>
            </w:r>
          </w:p>
        </w:tc>
        <w:tc>
          <w:tcPr>
            <w:tcW w:w="27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高压侧MPPT输入</w:t>
            </w:r>
          </w:p>
        </w:tc>
        <w:tc>
          <w:tcPr>
            <w:tcW w:w="27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低压侧MPPT输入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663"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rPr>
                <w:rFonts w:hint="eastAsia" w:ascii="宋体"/>
                <w:color w:val="666666"/>
                <w:sz w:val="24"/>
                <w:szCs w:val="24"/>
              </w:rPr>
            </w:pPr>
          </w:p>
        </w:tc>
        <w:tc>
          <w:tcPr>
            <w:tcW w:w="234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总线压控电流源</w:t>
            </w:r>
          </w:p>
        </w:tc>
        <w:tc>
          <w:tcPr>
            <w:tcW w:w="27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高压侧压控电流源</w:t>
            </w:r>
          </w:p>
        </w:tc>
        <w:tc>
          <w:tcPr>
            <w:tcW w:w="270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16" w:lineRule="atLeast"/>
              <w:ind w:left="0" w:right="0"/>
              <w:jc w:val="center"/>
            </w:pPr>
            <w:r>
              <w:rPr>
                <w:rFonts w:hint="eastAsia" w:ascii="宋体" w:hAnsi="宋体" w:eastAsia="宋体" w:cs="宋体"/>
                <w:color w:val="666666"/>
                <w:sz w:val="21"/>
                <w:szCs w:val="21"/>
              </w:rPr>
              <w:t>低压侧压控电流源</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257"/>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二．性能特点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全数字化，各种参数及信号全部数字化处理，由数字处理器智能灵活地管理。性能和可控性均远优于普通的模拟式双向DC-DC变换器。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模块化设计，单模块额定输出功率5KW，可多台双向DC-DC变换器并联运行。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双向变换都采用零电压变换软开关控制，使得转换效率达到95%以上。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能工作于恒流、恒压、MPPT和压控电流源等多种工作模式，并可在线快速频繁地切换工作模式。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运用多相交错技术，有效地抑制了纹波，减弱了大电流了对器件的冲击。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空载功耗低于20W，处于监控待机状态功耗低于12W。</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双向变换的电流大小和方向，既可用数字方式设定，也可用模拟量方式控制。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高低电压侧的工作电压可单独设定。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eastAsia" w:ascii="宋体" w:hAnsi="宋体" w:eastAsia="宋体" w:cs="宋体"/>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高低电压侧的过压保护电压可单独设定，保护两侧的设备不至于过压损坏。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高低电压侧的最低限压也可单独设定，保护两侧的电压不至于过放电。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高低电压任何一侧加电，均可使模块启动。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开机软启动，防止产生过强的电压电流冲击两端的电源。</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模块带有LED显示面板，可实时显示两侧电流，电压，设定两侧工作电流，最高限压。</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带RS485串口通信功能，遵循MODBUS-RTU协议，方便计算机或监控终端远程监测和设置的参数和工作状态。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RS485串口利用光耦隔离，可以有效防止雷击对远程监控计算机或者监控终端的影响。</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掉电状态恢复功能：即使完全关断双向DC-DC变换器的供电，下次开机时也能恢复掉电前的设置和状态。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输入极性防反接功能，电源极性接反不会有电流流过。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各种异常情况保护功能：带有过压，过流，过热，短路保护功能，故障撤销后自动恢复工作。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小体积：外壳尺寸360mm X160mm X 94mm，模块尺寸295mm X142mm X 85mm。</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val="0"/>
          <w:bCs w:val="0"/>
          <w:i w:val="0"/>
          <w:iCs w:val="0"/>
          <w:caps w:val="0"/>
          <w:color w:val="000000"/>
          <w:spacing w:val="0"/>
          <w:sz w:val="21"/>
          <w:szCs w:val="21"/>
          <w:shd w:val="clear" w:fill="FFFFFF"/>
        </w:rPr>
        <w:t>带外壳整机重量3.8Kg，模块重量为2.5Kg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274" w:right="0"/>
        <w:rPr>
          <w:rFonts w:hint="default" w:ascii="Calibri" w:hAnsi="Calibri" w:cs="Calibri"/>
          <w:b w:val="0"/>
          <w:bCs w:val="0"/>
          <w:i w:val="0"/>
          <w:iCs w:val="0"/>
          <w:color w:val="000000"/>
          <w:sz w:val="21"/>
          <w:szCs w:val="21"/>
        </w:rPr>
      </w:pPr>
      <w:r>
        <w:rPr>
          <w:rFonts w:hint="eastAsia" w:ascii="宋体" w:hAnsi="宋体" w:eastAsia="宋体" w:cs="宋体"/>
          <w:b/>
          <w:bCs/>
          <w:i w:val="0"/>
          <w:iCs w:val="0"/>
          <w:caps w:val="0"/>
          <w:color w:val="000000"/>
          <w:spacing w:val="0"/>
          <w:sz w:val="21"/>
          <w:szCs w:val="21"/>
          <w:shd w:val="clear" w:fill="FFFFFF"/>
        </w:rPr>
        <w:t>三．电特性参数</w:t>
      </w:r>
    </w:p>
    <w:tbl>
      <w:tblPr>
        <w:tblStyle w:val="7"/>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4130"/>
        <w:gridCol w:w="40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参数名称</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数 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b w:val="0"/>
                <w:bCs w:val="0"/>
                <w:color w:val="666666"/>
                <w:sz w:val="21"/>
                <w:szCs w:val="21"/>
              </w:rPr>
              <w:t>型 号</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val="0"/>
                <w:bCs w:val="0"/>
                <w:color w:val="666666"/>
                <w:sz w:val="21"/>
                <w:szCs w:val="21"/>
              </w:rPr>
              <w:t>DC30DC200P5KW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76" w:hRule="atLeast"/>
          <w:jc w:val="center"/>
        </w:trPr>
        <w:tc>
          <w:tcPr>
            <w:tcW w:w="8180"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高压侧参数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优化 输入/输出电压</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250V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输入/输出电压VOHV范围，误差1%</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40V–250V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最高限压OVHV调节范围，误差1%</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0V–265V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最低限压UVHV调节范围，误差1%</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0V–260V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高压侧输出电流设定范围，误差1%</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3 - 30A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外输入压控电流增益</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0.1-6 A/V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输入/输出电流过流/短路保护点</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60A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57" w:hRule="atLeast"/>
          <w:jc w:val="center"/>
        </w:trPr>
        <w:tc>
          <w:tcPr>
            <w:tcW w:w="8180"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低压侧参数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优化 输入/输出电压</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48V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输入/输出工作电压 VOLV范围，误差1%</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30V–120V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最高限压OVLV 调节范围，误差1%</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35V–130V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最低限压UVLV 调节范围，误差1%</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0V–110V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低压侧输出电流设定范围，误差1%</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3 - 50A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外输入压控电流增益</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0.1-12 A/V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输入/输出电流 过流/短路 保护点</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60A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01" w:hRule="atLeast"/>
          <w:jc w:val="center"/>
        </w:trPr>
        <w:tc>
          <w:tcPr>
            <w:tcW w:w="8180"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高低压两侧交互参数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电压变比范围（高压/低压）</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1.2 – 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75" w:hRule="atLeast"/>
          <w:jc w:val="center"/>
        </w:trPr>
        <w:tc>
          <w:tcPr>
            <w:tcW w:w="8180"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模式控制参数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模式切换时间</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1mS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切换模式到满载输出响应时间</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1S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4" w:hRule="atLeast"/>
          <w:jc w:val="center"/>
        </w:trPr>
        <w:tc>
          <w:tcPr>
            <w:tcW w:w="8180"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整机系统参数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额定输出功率</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5KW(VOLV≥60V时)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最大瞬时输出功率</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转换效率</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&gt; 92%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负载调整率</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待机功耗</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12W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空载功耗</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20W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冷却方式</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温控风冷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允许环境温度</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-25℃ - 60℃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温度过热保护点</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输入/输出 反接保护</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保护撤销后恢复工作时间</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5S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开机启动时间</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5S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纹波电压</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0.5V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95" w:hRule="atLeast"/>
          <w:jc w:val="center"/>
        </w:trPr>
        <w:tc>
          <w:tcPr>
            <w:tcW w:w="8180"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通信参数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通信方式</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RS485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通信协议</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MODBUS-RTU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69"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RS485通信波特率</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1200, 2400, 4800, 9600, 19200, 38400, 57600, 115200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RS485通信隔离耐压</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1500V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9" w:hRule="atLeast"/>
          <w:jc w:val="center"/>
        </w:trPr>
        <w:tc>
          <w:tcPr>
            <w:tcW w:w="8180"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均流参数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最大并联模块数量</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64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模块电流不均匀度</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均流控制方式</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主从控制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均流信号传输方式</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RS485数字通信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RS485通信波特率</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768K bps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通信协议</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自定义</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4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均流通信线最大长度</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&lt; 160 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13" w:hRule="atLeast"/>
          <w:jc w:val="center"/>
        </w:trPr>
        <w:tc>
          <w:tcPr>
            <w:tcW w:w="8180" w:type="dxa"/>
            <w:gridSpan w:val="2"/>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b/>
                <w:bCs/>
                <w:color w:val="666666"/>
                <w:sz w:val="21"/>
                <w:szCs w:val="21"/>
              </w:rPr>
              <w:t>显示参数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61"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显示方式</w:t>
            </w:r>
          </w:p>
        </w:tc>
        <w:tc>
          <w:tcPr>
            <w:tcW w:w="4050"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4位LED数码管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80" w:hRule="atLeast"/>
          <w:jc w:val="center"/>
        </w:trPr>
        <w:tc>
          <w:tcPr>
            <w:tcW w:w="4130"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pPr>
            <w:r>
              <w:rPr>
                <w:rFonts w:hint="eastAsia" w:ascii="宋体" w:hAnsi="宋体" w:eastAsia="宋体" w:cs="宋体"/>
                <w:color w:val="666666"/>
                <w:sz w:val="21"/>
                <w:szCs w:val="21"/>
              </w:rPr>
              <w:t>显示内容</w:t>
            </w:r>
          </w:p>
        </w:tc>
        <w:tc>
          <w:tcPr>
            <w:tcW w:w="405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两侧电流，电压，设定两侧工作电流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pPr>
            <w:r>
              <w:rPr>
                <w:rFonts w:hint="eastAsia" w:ascii="宋体" w:hAnsi="宋体" w:eastAsia="宋体" w:cs="宋体"/>
                <w:color w:val="666666"/>
                <w:sz w:val="21"/>
                <w:szCs w:val="21"/>
              </w:rPr>
              <w:t>最低限压，最高限压</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218"/>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14"/>
          <w:szCs w:val="14"/>
          <w:shd w:val="clear" w:fill="FFFFFF"/>
        </w:rPr>
        <w:drawing>
          <wp:inline distT="0" distB="0" distL="114300" distR="114300">
            <wp:extent cx="4601210" cy="2948940"/>
            <wp:effectExtent l="0" t="0" r="1270" b="7620"/>
            <wp:docPr id="3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IMG_276"/>
                    <pic:cNvPicPr>
                      <a:picLocks noChangeAspect="1"/>
                    </pic:cNvPicPr>
                  </pic:nvPicPr>
                  <pic:blipFill>
                    <a:blip r:embed="rId26"/>
                    <a:stretch>
                      <a:fillRect/>
                    </a:stretch>
                  </pic:blipFill>
                  <pic:spPr>
                    <a:xfrm>
                      <a:off x="0" y="0"/>
                      <a:ext cx="4601210" cy="29489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超级电容系统控制柜面板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000000"/>
          <w:spacing w:val="0"/>
          <w:sz w:val="21"/>
          <w:szCs w:val="21"/>
          <w:shd w:val="clear" w:fill="FFFFFF"/>
        </w:rPr>
        <w:t>2.6 显示单元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系统配置有方阵电压、电流；逆变电压、电流、功率；实验室温度和湿度、实验记时时钟、逆向电量计量表等。方便在没有与PC机联机状况下查看系统工作状态和各项参数。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可以通过教师机进行信息共享至大屏幕，实现教室内局域网计算机数据交换与共享。</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14"/>
          <w:szCs w:val="14"/>
          <w:shd w:val="clear" w:fill="FFFFFF"/>
        </w:rPr>
        <w:drawing>
          <wp:inline distT="0" distB="0" distL="114300" distR="114300">
            <wp:extent cx="3971925" cy="2447925"/>
            <wp:effectExtent l="0" t="0" r="5715" b="5715"/>
            <wp:docPr id="4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IMG_277"/>
                    <pic:cNvPicPr>
                      <a:picLocks noChangeAspect="1"/>
                    </pic:cNvPicPr>
                  </pic:nvPicPr>
                  <pic:blipFill>
                    <a:blip r:embed="rId27"/>
                    <a:stretch>
                      <a:fillRect/>
                    </a:stretch>
                  </pic:blipFill>
                  <pic:spPr>
                    <a:xfrm>
                      <a:off x="0" y="0"/>
                      <a:ext cx="3971925" cy="244792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jc w:val="center"/>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室内大屏幕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2.7 主控系统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主控系统是整个微网的监测、控制核心单元。通过内置的数据采集、通讯传输等模块，实现对微网系统的可视化监测及控制。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u</w:t>
      </w:r>
      <w:r>
        <w:rPr>
          <w:rFonts w:hint="eastAsia" w:ascii="宋体" w:hAnsi="宋体" w:eastAsia="宋体" w:cs="宋体"/>
          <w:i w:val="0"/>
          <w:iCs w:val="0"/>
          <w:caps w:val="0"/>
          <w:color w:val="1F1F1F"/>
          <w:spacing w:val="0"/>
          <w:sz w:val="14"/>
          <w:szCs w:val="14"/>
          <w:shd w:val="clear" w:fill="FFFFFF"/>
        </w:rPr>
        <w:drawing>
          <wp:inline distT="0" distB="0" distL="114300" distR="114300">
            <wp:extent cx="3720465" cy="2783840"/>
            <wp:effectExtent l="0" t="0" r="13335" b="5080"/>
            <wp:docPr id="4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IMG_278"/>
                    <pic:cNvPicPr>
                      <a:picLocks noChangeAspect="1"/>
                    </pic:cNvPicPr>
                  </pic:nvPicPr>
                  <pic:blipFill>
                    <a:blip r:embed="rId28"/>
                    <a:stretch>
                      <a:fillRect/>
                    </a:stretch>
                  </pic:blipFill>
                  <pic:spPr>
                    <a:xfrm>
                      <a:off x="0" y="0"/>
                      <a:ext cx="3720465" cy="278384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主要功能特点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000000"/>
          <w:spacing w:val="0"/>
          <w:sz w:val="21"/>
          <w:szCs w:val="21"/>
          <w:shd w:val="clear" w:fill="FFFFFF"/>
        </w:rPr>
        <w:t>1、教师机：广播教学、语音教学、语音对讲、学生演示、监控转播、文件分发、电子教鞭、班级模型、系统设置、远程命令、远程设置、远程消息、分组教学、语音讨论、文件收集、查看学生属性。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000000"/>
          <w:spacing w:val="0"/>
          <w:sz w:val="21"/>
          <w:szCs w:val="21"/>
          <w:shd w:val="clear" w:fill="FFFFFF"/>
        </w:rPr>
        <w:t>2、学生机：电子举手、远程消息、窗口接收广播、可选窗口显示模式。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000000"/>
          <w:spacing w:val="0"/>
          <w:sz w:val="21"/>
          <w:szCs w:val="21"/>
          <w:shd w:val="clear" w:fill="FFFFFF"/>
        </w:rPr>
        <w:t>3、实验室功能特点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000000"/>
          <w:spacing w:val="0"/>
          <w:sz w:val="21"/>
          <w:szCs w:val="21"/>
          <w:shd w:val="clear" w:fill="FFFFFF"/>
        </w:rPr>
        <w:t>(1)、本实验室风光互补上位机软件在一台计算机或教师机上进行操作。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000000"/>
          <w:spacing w:val="0"/>
          <w:sz w:val="21"/>
          <w:szCs w:val="21"/>
          <w:shd w:val="clear" w:fill="FFFFFF"/>
        </w:rPr>
        <w:t>(2)、教师广播教学：将教师机的电脑屏幕画面和语音等多媒体信息实时广播给全体、群体或单个学生。并同时提供电子教鞭等功能。语音教学时：通过话筒和耳机进行语音传播，实现教师与学生之间的自由的语音交谈和讨论。允许学生发言，并可方便地切换发言学生；可随时方便地使一组学生加入或退出教学行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000000"/>
          <w:spacing w:val="0"/>
          <w:sz w:val="21"/>
          <w:szCs w:val="21"/>
          <w:shd w:val="clear" w:fill="FFFFFF"/>
        </w:rPr>
        <w:t>(3)、文件分发功能强大且界面相当易用，可以定义宏目录，如教师把采集数据可以同时分发给教室里的所有学生。您可以将一个或多个文件一次性的传输到指定的学生机上。这样就可以做到网上分发试卷或演示文件等。您真的可以体会网络教学的轻松与写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000000"/>
          <w:spacing w:val="0"/>
          <w:sz w:val="21"/>
          <w:szCs w:val="21"/>
          <w:shd w:val="clear" w:fill="FFFFFF"/>
        </w:rPr>
        <w:t>(4)、文件提交功能可以收集学生所做的作业、程序文件等提交给老师，方便老师操作。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6"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000000"/>
          <w:spacing w:val="0"/>
          <w:sz w:val="21"/>
          <w:szCs w:val="21"/>
          <w:shd w:val="clear" w:fill="FFFFFF"/>
        </w:rPr>
        <w:t>(5)、电子点名功能方便老师统计学生上课考勤情况。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w:t>
      </w:r>
      <w:r>
        <w:rPr>
          <w:rFonts w:hint="eastAsia" w:ascii="宋体" w:hAnsi="宋体" w:eastAsia="宋体" w:cs="宋体"/>
          <w:b/>
          <w:bCs/>
          <w:i w:val="0"/>
          <w:iCs w:val="0"/>
          <w:caps w:val="0"/>
          <w:color w:val="1F1F1F"/>
          <w:spacing w:val="0"/>
          <w:sz w:val="21"/>
          <w:szCs w:val="21"/>
          <w:shd w:val="clear" w:fill="FFFFFF"/>
        </w:rPr>
        <w:t> 一、多媒体教学软件及主要功能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414" w:right="0" w:firstLine="5"/>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1、通过该软件可以学习太阳能光伏硅材料、电池片、光伏组件、光伏组件附属材料、光伏应用产品等全部系列光伏知识内容。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414" w:right="0" w:firstLine="5"/>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2、配备文字与动画展示并介绍从原材料至成品包括中间环节加工工艺等与使用方法。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414" w:right="0" w:firstLine="5"/>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3、多媒体系统自带语音讲解，图、文、声并茂展示讲解、与系统所述文字同步播放，提高学生对新能源专业知识快速掌握和快速学习。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rPr>
          <w:rFonts w:hint="eastAsia" w:ascii="宋体" w:hAnsi="宋体" w:eastAsia="宋体" w:cs="宋体"/>
          <w:i w:val="0"/>
          <w:iCs w:val="0"/>
          <w:caps w:val="0"/>
          <w:color w:val="1F1F1F"/>
          <w:spacing w:val="0"/>
          <w:sz w:val="14"/>
          <w:szCs w:val="14"/>
        </w:rPr>
      </w:pPr>
      <w:r>
        <w:rPr>
          <w:rFonts w:hint="eastAsia" w:ascii="宋体" w:hAnsi="宋体" w:eastAsia="宋体" w:cs="宋体"/>
          <w:b w:val="0"/>
          <w:bCs w:val="0"/>
          <w:i w:val="0"/>
          <w:iCs w:val="0"/>
          <w:caps w:val="0"/>
          <w:color w:val="1F1F1F"/>
          <w:spacing w:val="0"/>
          <w:sz w:val="21"/>
          <w:szCs w:val="21"/>
          <w:shd w:val="clear" w:fill="FFFFFF"/>
        </w:rPr>
        <w:t>*</w:t>
      </w:r>
      <w:r>
        <w:rPr>
          <w:rFonts w:hint="eastAsia" w:ascii="宋体" w:hAnsi="宋体" w:eastAsia="宋体" w:cs="宋体"/>
          <w:b/>
          <w:bCs/>
          <w:i w:val="0"/>
          <w:iCs w:val="0"/>
          <w:caps w:val="0"/>
          <w:color w:val="1F1F1F"/>
          <w:spacing w:val="0"/>
          <w:sz w:val="21"/>
          <w:szCs w:val="21"/>
          <w:shd w:val="clear" w:fill="FFFFFF"/>
        </w:rPr>
        <w:t> 二、展示与讲解内容目录（图、文、声并茂）：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2.1 太阳能光伏发电产品介绍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2.1.1 太阳能发电系统：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2.1.2 家用太阳能发电机直流系统多媒体电视机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2.1.3 太阳能便携电源：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2.1.4 太阳能杀虫灯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2.1.5 太阳能警示灯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0"/>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2.1.6 太阳能野营灯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2.2 太阳能光伏发电基本原理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2.3 太阳能光伏发电系统组成部分介绍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2.4 太阳能光伏发电系统设计方法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2.5 太阳能光伏电站施工建设方法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2.5.1、项目前期考察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2.5.2、项目建设前期资料及批复文件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2"/>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第一阶段：可研阶段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2"/>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第二阶段：获得省级/市级相关部门的批复文件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422"/>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第三阶段：获得开工许可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2.5.3、项目施工图设计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2.5.4、项目实施建设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2.5.5、带电前的必备条件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2.6太阳能光伏并网电站介绍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2.6.1、光伏并网电站简要描述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2.6.2、光伏并网电站设备组成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2.6.2、光伏并网电站设备功能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2.7 家用型太阳能电站建设方案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2.7.1、项目概述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2.7.2、方案设计 （附详细方案设计）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8"/>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（一）用户负载信息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8"/>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（二）系统方案设计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8"/>
        <w:rPr>
          <w:rFonts w:hint="eastAsia" w:ascii="宋体" w:hAnsi="宋体" w:eastAsia="宋体" w:cs="宋体"/>
          <w:i w:val="0"/>
          <w:iCs w:val="0"/>
          <w:caps w:val="0"/>
          <w:color w:val="1F1F1F"/>
          <w:spacing w:val="0"/>
          <w:sz w:val="14"/>
          <w:szCs w:val="14"/>
        </w:rPr>
      </w:pPr>
      <w:r>
        <w:rPr>
          <w:rFonts w:hint="eastAsia" w:ascii="宋体" w:hAnsi="宋体" w:eastAsia="宋体" w:cs="宋体"/>
          <w:i w:val="0"/>
          <w:iCs w:val="0"/>
          <w:caps w:val="0"/>
          <w:color w:val="1F1F1F"/>
          <w:spacing w:val="0"/>
          <w:sz w:val="21"/>
          <w:szCs w:val="21"/>
          <w:shd w:val="clear" w:fill="FFFFFF"/>
        </w:rPr>
        <w:t>（三）效益计算：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2.8 逆变器基本原理介绍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219"/>
        <w:rPr>
          <w:rFonts w:hint="eastAsia" w:ascii="宋体" w:hAnsi="宋体" w:eastAsia="宋体" w:cs="宋体"/>
          <w:i w:val="0"/>
          <w:iCs w:val="0"/>
          <w:caps w:val="0"/>
          <w:color w:val="1F1F1F"/>
          <w:spacing w:val="0"/>
          <w:sz w:val="14"/>
          <w:szCs w:val="14"/>
        </w:rPr>
      </w:pPr>
      <w:r>
        <w:rPr>
          <w:rFonts w:hint="eastAsia" w:ascii="宋体" w:hAnsi="宋体" w:eastAsia="宋体" w:cs="宋体"/>
          <w:b/>
          <w:bCs/>
          <w:i w:val="0"/>
          <w:iCs w:val="0"/>
          <w:caps w:val="0"/>
          <w:color w:val="1F1F1F"/>
          <w:spacing w:val="0"/>
          <w:sz w:val="21"/>
          <w:szCs w:val="21"/>
          <w:shd w:val="clear" w:fill="FFFFFF"/>
        </w:rPr>
        <w:t>2.9 控制器基本原理介绍</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lang w:val="en-US" w:eastAsia="zh-CN"/>
      </w:rPr>
      <w:t>网址：</w:t>
    </w:r>
    <w:r>
      <w:rPr>
        <w:rFonts w:hint="eastAsia"/>
        <w:color w:val="auto"/>
        <w:u w:val="none"/>
        <w:lang w:val="en-US" w:eastAsia="zh-CN"/>
      </w:rPr>
      <w:fldChar w:fldCharType="begin"/>
    </w:r>
    <w:r>
      <w:rPr>
        <w:rFonts w:hint="eastAsia"/>
        <w:color w:val="auto"/>
        <w:u w:val="none"/>
        <w:lang w:val="en-US" w:eastAsia="zh-CN"/>
      </w:rPr>
      <w:instrText xml:space="preserve"> HYPERLINK "http://www.shfdtw.com" </w:instrText>
    </w:r>
    <w:r>
      <w:rPr>
        <w:rFonts w:hint="eastAsia"/>
        <w:color w:val="auto"/>
        <w:u w:val="none"/>
        <w:lang w:val="en-US" w:eastAsia="zh-CN"/>
      </w:rPr>
      <w:fldChar w:fldCharType="separate"/>
    </w:r>
    <w:r>
      <w:rPr>
        <w:rStyle w:val="9"/>
        <w:rFonts w:hint="eastAsia"/>
        <w:color w:val="auto"/>
        <w:u w:val="none"/>
        <w:lang w:val="en-US" w:eastAsia="zh-CN"/>
      </w:rPr>
      <w:t>www.shfdtw.com</w:t>
    </w:r>
    <w:r>
      <w:rPr>
        <w:rFonts w:hint="eastAsia"/>
        <w:color w:val="auto"/>
        <w:u w:val="none"/>
        <w:lang w:val="en-US" w:eastAsia="zh-CN"/>
      </w:rPr>
      <w:fldChar w:fldCharType="end"/>
    </w:r>
    <w:r>
      <w:rPr>
        <w:rFonts w:hint="eastAsia"/>
        <w:color w:val="auto"/>
        <w:u w:val="none"/>
        <w:lang w:val="en-US" w:eastAsia="zh-CN"/>
      </w:rPr>
      <w:t xml:space="preserve">   </w:t>
    </w:r>
    <w:r>
      <w:rPr>
        <w:rFonts w:hint="eastAsia"/>
        <w:lang w:val="en-US" w:eastAsia="zh-CN"/>
      </w:rPr>
      <w:t xml:space="preserve">                                  电话：021-55884001        55884002</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val="en-US"/>
      </w:rPr>
      <w:drawing>
        <wp:inline distT="0" distB="0" distL="114300" distR="114300">
          <wp:extent cx="1198880" cy="254635"/>
          <wp:effectExtent l="0" t="0" r="5080" b="4445"/>
          <wp:docPr id="24" name="图片 1"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77"/>
                  <pic:cNvPicPr>
                    <a:picLocks noChangeAspect="1"/>
                  </pic:cNvPicPr>
                </pic:nvPicPr>
                <pic:blipFill>
                  <a:blip r:embed="rId1"/>
                  <a:srcRect t="6456" b="15469"/>
                  <a:stretch>
                    <a:fillRect/>
                  </a:stretch>
                </pic:blipFill>
                <pic:spPr>
                  <a:xfrm>
                    <a:off x="0" y="0"/>
                    <a:ext cx="1198880" cy="254635"/>
                  </a:xfrm>
                  <a:prstGeom prst="rect">
                    <a:avLst/>
                  </a:prstGeom>
                  <a:noFill/>
                  <a:ln w="9525">
                    <a:noFill/>
                    <a:miter/>
                  </a:ln>
                  <a:effectLst/>
                </pic:spPr>
              </pic:pic>
            </a:graphicData>
          </a:graphic>
        </wp:inline>
      </w:drawing>
    </w:r>
    <w:r>
      <w:rPr>
        <w:lang w:val="en-US"/>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上海天威教学实验设备有限公司</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F12C03"/>
    <w:multiLevelType w:val="multilevel"/>
    <w:tmpl w:val="50F12C0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22E56"/>
    <w:rsid w:val="23522E56"/>
    <w:rsid w:val="49F83691"/>
    <w:rsid w:val="635B4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Hyperlink"/>
    <w:basedOn w:val="8"/>
    <w:qFormat/>
    <w:uiPriority w:val="0"/>
    <w:rPr>
      <w:color w:val="0000FF"/>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2021-12-14T06:53:00Z</dcterms:created>
  <dc:creator>煌嘉软件</dc:creator>
  <cp:lastModifiedBy>天威教学</cp:lastModifiedBy>
  <dcterms:modified xsi:type="dcterms:W3CDTF">2022-03-02T02:42:07Z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C8B46ECA36214B399FBBF82B0FE3C75F</vt:lpwstr>
  </property>
</Properties>
</file>