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36"/>
          <w:szCs w:val="36"/>
        </w:rPr>
      </w:pPr>
      <w:bookmarkStart w:id="0" w:name="_GoBack"/>
      <w:r>
        <w:rPr>
          <w:rStyle w:val="7"/>
          <w:rFonts w:hint="eastAsia" w:ascii="宋体" w:hAnsi="宋体" w:eastAsia="宋体" w:cs="宋体"/>
          <w:i w:val="0"/>
          <w:iCs w:val="0"/>
          <w:caps w:val="0"/>
          <w:color w:val="1F1F1F"/>
          <w:spacing w:val="0"/>
          <w:sz w:val="36"/>
          <w:szCs w:val="36"/>
          <w:bdr w:val="none" w:color="auto" w:sz="0" w:space="0"/>
          <w:shd w:val="clear" w:fill="FFFFFF"/>
        </w:rPr>
        <w:t>TW-QY17工业型起重机液压系统与PLC控制实训装置</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一、概述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装起重机是以轮胎式基础车为载体配以起重设备工作装置和操作机构组成的自行起重机械，是工程机械中用途很广泛的一个设备，它适用于大型野外施工工程，如建筑工地、施工筑路、水力工程、国防工程等行业。液压起重机仿真模型具有体积小、重量轻、操作方便和远距离操纵等优点，其目的是引导学生进行积极思维、创新设计、培养学生综合设计能力和实践动手能力一种新型综合实训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6010275" cy="4543425"/>
            <wp:effectExtent l="0" t="0" r="9525" b="133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6010275" cy="45434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二、技术参数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1、输入电源：三相五线，AC380V．允差±l0%，50Hz；</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2、装置容量：≤2kVA；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3、工作环境温度：－5℃～40℃；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4、工作湿度：≤90%(40℃时)；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5、液压泵站：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（1）系统额定压力6.3MPa；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（2）变量叶片泵-电机1套：采用内轴一体式安装，噪音低；变量叶片泵：额定流量8L∕min，压力7MPa；电机：交流380V电压，功率1.5kVA。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6、电器控制单元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（1）PLC主机模块：主机选用三菱FX1S-20MR主机，12路输入8路继电器输出。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（2）配有控制模块：电源模块，PLC主机控制模块，PLC控制按钮模块等。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7、总规格尺寸：1800×800×1600（mm）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三、性能及特点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w:t>
      </w:r>
      <w:r>
        <w:rPr>
          <w:rFonts w:hint="eastAsia" w:ascii="宋体" w:hAnsi="宋体" w:eastAsia="宋体" w:cs="宋体"/>
          <w:i w:val="0"/>
          <w:iCs w:val="0"/>
          <w:caps w:val="0"/>
          <w:spacing w:val="0"/>
          <w:sz w:val="28"/>
          <w:szCs w:val="28"/>
          <w:u w:val="none"/>
          <w:bdr w:val="none" w:color="auto" w:sz="0" w:space="0"/>
          <w:shd w:val="clear" w:fill="FFFFFF"/>
        </w:rPr>
        <w:fldChar w:fldCharType="begin"/>
      </w:r>
      <w:r>
        <w:rPr>
          <w:rFonts w:hint="eastAsia" w:ascii="宋体" w:hAnsi="宋体" w:eastAsia="宋体" w:cs="宋体"/>
          <w:i w:val="0"/>
          <w:iCs w:val="0"/>
          <w:caps w:val="0"/>
          <w:spacing w:val="0"/>
          <w:sz w:val="28"/>
          <w:szCs w:val="28"/>
          <w:u w:val="none"/>
          <w:bdr w:val="none" w:color="auto" w:sz="0" w:space="0"/>
          <w:shd w:val="clear" w:fill="FFFFFF"/>
        </w:rPr>
        <w:instrText xml:space="preserve"> HYPERLINK "http://www.shfdtw.com/productshow-90-1541-1.html" \t "https://www.shfdtw.com/_blank" </w:instrText>
      </w:r>
      <w:r>
        <w:rPr>
          <w:rFonts w:hint="eastAsia" w:ascii="宋体" w:hAnsi="宋体" w:eastAsia="宋体" w:cs="宋体"/>
          <w:i w:val="0"/>
          <w:iCs w:val="0"/>
          <w:caps w:val="0"/>
          <w:spacing w:val="0"/>
          <w:sz w:val="28"/>
          <w:szCs w:val="28"/>
          <w:u w:val="none"/>
          <w:bdr w:val="none" w:color="auto" w:sz="0" w:space="0"/>
          <w:shd w:val="clear" w:fill="FFFFFF"/>
        </w:rPr>
        <w:fldChar w:fldCharType="separate"/>
      </w:r>
      <w:r>
        <w:rPr>
          <w:rStyle w:val="8"/>
          <w:rFonts w:hint="eastAsia" w:ascii="宋体" w:hAnsi="宋体" w:eastAsia="宋体" w:cs="宋体"/>
          <w:i w:val="0"/>
          <w:iCs w:val="0"/>
          <w:caps w:val="0"/>
          <w:color w:val="000000"/>
          <w:spacing w:val="0"/>
          <w:sz w:val="28"/>
          <w:szCs w:val="28"/>
          <w:u w:val="none"/>
          <w:bdr w:val="none" w:color="auto" w:sz="0" w:space="0"/>
          <w:shd w:val="clear" w:fill="FFFFFF"/>
        </w:rPr>
        <w:t>起重机液压系统与PLC控制实训装置</w:t>
      </w:r>
      <w:r>
        <w:rPr>
          <w:rFonts w:hint="eastAsia" w:ascii="宋体" w:hAnsi="宋体" w:eastAsia="宋体" w:cs="宋体"/>
          <w:i w:val="0"/>
          <w:iCs w:val="0"/>
          <w:caps w:val="0"/>
          <w:spacing w:val="0"/>
          <w:sz w:val="28"/>
          <w:szCs w:val="28"/>
          <w:u w:val="none"/>
          <w:bdr w:val="none" w:color="auto" w:sz="0" w:space="0"/>
          <w:shd w:val="clear" w:fill="FFFFFF"/>
        </w:rPr>
        <w:fldChar w:fldCharType="end"/>
      </w:r>
      <w:r>
        <w:rPr>
          <w:rFonts w:hint="eastAsia" w:ascii="宋体" w:hAnsi="宋体" w:eastAsia="宋体" w:cs="宋体"/>
          <w:i w:val="0"/>
          <w:iCs w:val="0"/>
          <w:caps w:val="0"/>
          <w:color w:val="1F1F1F"/>
          <w:spacing w:val="0"/>
          <w:sz w:val="28"/>
          <w:szCs w:val="28"/>
          <w:bdr w:val="none" w:color="auto" w:sz="0" w:space="0"/>
          <w:shd w:val="clear" w:fill="FFFFFF"/>
        </w:rPr>
        <w:t>主要由起重机实训台、液压泵站、液压元件和手动控制器件、可编程控制器（PLC）等组件组成。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2、起重机实训台为铁质双层亚光密纹喷塑结构。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3、电气操作在控制台上方，液压站放置于液压台底部。整体结构紧凑协调，美观大方，牢固性强。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4、起重机按照实物的结构与缩小比例制作模拟现场操作,能够真实地体现机械的实际工况，使学生在实践中了解机械的各部件结构及工作原理，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5、实训控制采用手动控制，先进的PLC自动控制与PLC编程及监控技术于一体，灵活实现其功能。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6、液压部件采用胶管连接, 液压元件采用工业液压元件；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7、泵站采用电机—泵一体化结构，增加性能的稳定性，同时减小使用过程中的噪音；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8、工作电压AC380V，对地漏电保护，电器控制采用直流24V，有过压保护，防止误操作损坏设备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四、主要功能实验项目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1、起重机机构及工作原理观摩、拆装实验；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2、液压工业应用领域的认识与了解；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3、液压回路的搭接实训等；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4、起重机械演示控制实验回：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（1）主臂抬起、降低控制操作实验；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（2) 主臂伸出、缩回控制操作实验；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（3）吊钩上、下运动控制操作实验；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（4）主臂旋转控制操作实验；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5、PLC自动控制操作实验；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6、PLC可编程控制训练；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五、起重机液压系统与PLC控制实训装置清单</w:t>
      </w:r>
    </w:p>
    <w:tbl>
      <w:tblPr>
        <w:tblW w:w="82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108" w:type="dxa"/>
          <w:bottom w:w="0" w:type="dxa"/>
          <w:right w:w="108" w:type="dxa"/>
        </w:tblCellMar>
      </w:tblPr>
      <w:tblGrid>
        <w:gridCol w:w="678"/>
        <w:gridCol w:w="3194"/>
        <w:gridCol w:w="2723"/>
        <w:gridCol w:w="848"/>
        <w:gridCol w:w="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c>
          <w:tcPr>
            <w:tcW w:w="57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b/>
                <w:bCs/>
                <w:i w:val="0"/>
                <w:iCs w:val="0"/>
                <w:caps w:val="0"/>
                <w:color w:val="666666"/>
                <w:spacing w:val="0"/>
                <w:sz w:val="28"/>
                <w:szCs w:val="28"/>
                <w:bdr w:val="none" w:color="auto" w:sz="0" w:space="0"/>
              </w:rPr>
              <w:t>序号</w:t>
            </w:r>
          </w:p>
        </w:tc>
        <w:tc>
          <w:tcPr>
            <w:tcW w:w="2712"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b/>
                <w:bCs/>
                <w:i w:val="0"/>
                <w:iCs w:val="0"/>
                <w:caps w:val="0"/>
                <w:color w:val="666666"/>
                <w:spacing w:val="0"/>
                <w:sz w:val="28"/>
                <w:szCs w:val="28"/>
                <w:bdr w:val="none" w:color="auto" w:sz="0" w:space="0"/>
              </w:rPr>
              <w:t>名    称</w:t>
            </w:r>
          </w:p>
        </w:tc>
        <w:tc>
          <w:tcPr>
            <w:tcW w:w="1884"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b/>
                <w:bCs/>
                <w:i w:val="0"/>
                <w:iCs w:val="0"/>
                <w:caps w:val="0"/>
                <w:color w:val="666666"/>
                <w:spacing w:val="0"/>
                <w:sz w:val="28"/>
                <w:szCs w:val="28"/>
                <w:bdr w:val="none" w:color="auto" w:sz="0" w:space="0"/>
              </w:rPr>
              <w:t>型  号</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b/>
                <w:bCs/>
                <w:i w:val="0"/>
                <w:iCs w:val="0"/>
                <w:caps w:val="0"/>
                <w:color w:val="666666"/>
                <w:spacing w:val="0"/>
                <w:sz w:val="28"/>
                <w:szCs w:val="28"/>
                <w:bdr w:val="none" w:color="auto" w:sz="0" w:space="0"/>
              </w:rPr>
              <w:t>数量</w:t>
            </w:r>
          </w:p>
        </w:tc>
        <w:tc>
          <w:tcPr>
            <w:tcW w:w="672"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b/>
                <w:bCs/>
                <w:i w:val="0"/>
                <w:iCs w:val="0"/>
                <w:caps w:val="0"/>
                <w:color w:val="666666"/>
                <w:spacing w:val="0"/>
                <w:sz w:val="28"/>
                <w:szCs w:val="28"/>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c>
          <w:tcPr>
            <w:tcW w:w="57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w:t>
            </w:r>
          </w:p>
        </w:tc>
        <w:tc>
          <w:tcPr>
            <w:tcW w:w="2712"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起重机实训装置</w:t>
            </w:r>
          </w:p>
        </w:tc>
        <w:tc>
          <w:tcPr>
            <w:tcW w:w="1884"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1台</w:t>
            </w:r>
          </w:p>
        </w:tc>
        <w:tc>
          <w:tcPr>
            <w:tcW w:w="672"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c>
          <w:tcPr>
            <w:tcW w:w="57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2</w:t>
            </w:r>
          </w:p>
        </w:tc>
        <w:tc>
          <w:tcPr>
            <w:tcW w:w="2712"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PLC主机模块</w:t>
            </w:r>
          </w:p>
        </w:tc>
        <w:tc>
          <w:tcPr>
            <w:tcW w:w="1884"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三菱FX1S-20MR</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1块</w:t>
            </w:r>
          </w:p>
        </w:tc>
        <w:tc>
          <w:tcPr>
            <w:tcW w:w="672"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c>
          <w:tcPr>
            <w:tcW w:w="57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3</w:t>
            </w:r>
          </w:p>
        </w:tc>
        <w:tc>
          <w:tcPr>
            <w:tcW w:w="2712"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电源模块</w:t>
            </w:r>
          </w:p>
        </w:tc>
        <w:tc>
          <w:tcPr>
            <w:tcW w:w="1884"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1块</w:t>
            </w:r>
          </w:p>
        </w:tc>
        <w:tc>
          <w:tcPr>
            <w:tcW w:w="672"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c>
          <w:tcPr>
            <w:tcW w:w="57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4</w:t>
            </w:r>
          </w:p>
        </w:tc>
        <w:tc>
          <w:tcPr>
            <w:tcW w:w="2712"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PLC控制按钮模块</w:t>
            </w:r>
          </w:p>
        </w:tc>
        <w:tc>
          <w:tcPr>
            <w:tcW w:w="1884"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1块</w:t>
            </w:r>
          </w:p>
        </w:tc>
        <w:tc>
          <w:tcPr>
            <w:tcW w:w="672"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c>
          <w:tcPr>
            <w:tcW w:w="57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5</w:t>
            </w:r>
          </w:p>
        </w:tc>
        <w:tc>
          <w:tcPr>
            <w:tcW w:w="2712"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举升油缸</w:t>
            </w:r>
          </w:p>
        </w:tc>
        <w:tc>
          <w:tcPr>
            <w:tcW w:w="1884"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1只</w:t>
            </w:r>
          </w:p>
        </w:tc>
        <w:tc>
          <w:tcPr>
            <w:tcW w:w="672"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7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6</w:t>
            </w:r>
          </w:p>
        </w:tc>
        <w:tc>
          <w:tcPr>
            <w:tcW w:w="2712"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主臂油缸</w:t>
            </w:r>
          </w:p>
        </w:tc>
        <w:tc>
          <w:tcPr>
            <w:tcW w:w="1884"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1只</w:t>
            </w:r>
          </w:p>
        </w:tc>
        <w:tc>
          <w:tcPr>
            <w:tcW w:w="672"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c>
          <w:tcPr>
            <w:tcW w:w="57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7</w:t>
            </w:r>
          </w:p>
        </w:tc>
        <w:tc>
          <w:tcPr>
            <w:tcW w:w="2712"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三位四通手动换向阀</w:t>
            </w:r>
          </w:p>
        </w:tc>
        <w:tc>
          <w:tcPr>
            <w:tcW w:w="1884"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4WMM6C50BF</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3只</w:t>
            </w:r>
          </w:p>
        </w:tc>
        <w:tc>
          <w:tcPr>
            <w:tcW w:w="672"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c>
          <w:tcPr>
            <w:tcW w:w="57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8</w:t>
            </w:r>
          </w:p>
        </w:tc>
        <w:tc>
          <w:tcPr>
            <w:tcW w:w="2712"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三位四通电磁换向阀</w:t>
            </w:r>
          </w:p>
        </w:tc>
        <w:tc>
          <w:tcPr>
            <w:tcW w:w="1884"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4WE6E60/EG24NZ5L</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3只</w:t>
            </w:r>
          </w:p>
        </w:tc>
        <w:tc>
          <w:tcPr>
            <w:tcW w:w="672"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c>
          <w:tcPr>
            <w:tcW w:w="57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9</w:t>
            </w:r>
          </w:p>
        </w:tc>
        <w:tc>
          <w:tcPr>
            <w:tcW w:w="2712"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主臂</w:t>
            </w:r>
          </w:p>
        </w:tc>
        <w:tc>
          <w:tcPr>
            <w:tcW w:w="1884"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1件</w:t>
            </w:r>
          </w:p>
        </w:tc>
        <w:tc>
          <w:tcPr>
            <w:tcW w:w="672"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c>
          <w:tcPr>
            <w:tcW w:w="57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10</w:t>
            </w:r>
          </w:p>
        </w:tc>
        <w:tc>
          <w:tcPr>
            <w:tcW w:w="2712"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伸缩臂</w:t>
            </w:r>
          </w:p>
        </w:tc>
        <w:tc>
          <w:tcPr>
            <w:tcW w:w="1884"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2件</w:t>
            </w:r>
          </w:p>
        </w:tc>
        <w:tc>
          <w:tcPr>
            <w:tcW w:w="672"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c>
          <w:tcPr>
            <w:tcW w:w="57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11</w:t>
            </w:r>
          </w:p>
        </w:tc>
        <w:tc>
          <w:tcPr>
            <w:tcW w:w="2712"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底座</w:t>
            </w:r>
          </w:p>
        </w:tc>
        <w:tc>
          <w:tcPr>
            <w:tcW w:w="1884"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1件</w:t>
            </w:r>
          </w:p>
        </w:tc>
        <w:tc>
          <w:tcPr>
            <w:tcW w:w="672"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c>
          <w:tcPr>
            <w:tcW w:w="57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12</w:t>
            </w:r>
          </w:p>
        </w:tc>
        <w:tc>
          <w:tcPr>
            <w:tcW w:w="2712"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油管</w:t>
            </w:r>
          </w:p>
        </w:tc>
        <w:tc>
          <w:tcPr>
            <w:tcW w:w="1884"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22条</w:t>
            </w:r>
          </w:p>
        </w:tc>
        <w:tc>
          <w:tcPr>
            <w:tcW w:w="672"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c>
          <w:tcPr>
            <w:tcW w:w="57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13</w:t>
            </w:r>
          </w:p>
        </w:tc>
        <w:tc>
          <w:tcPr>
            <w:tcW w:w="2712"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底座支架</w:t>
            </w:r>
          </w:p>
        </w:tc>
        <w:tc>
          <w:tcPr>
            <w:tcW w:w="1884"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1套</w:t>
            </w:r>
          </w:p>
        </w:tc>
        <w:tc>
          <w:tcPr>
            <w:tcW w:w="672"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c>
          <w:tcPr>
            <w:tcW w:w="57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14</w:t>
            </w:r>
          </w:p>
        </w:tc>
        <w:tc>
          <w:tcPr>
            <w:tcW w:w="2712"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回转工作台</w:t>
            </w:r>
          </w:p>
        </w:tc>
        <w:tc>
          <w:tcPr>
            <w:tcW w:w="1884"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1套</w:t>
            </w:r>
          </w:p>
        </w:tc>
        <w:tc>
          <w:tcPr>
            <w:tcW w:w="672"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7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15</w:t>
            </w:r>
          </w:p>
        </w:tc>
        <w:tc>
          <w:tcPr>
            <w:tcW w:w="2712"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回转马达</w:t>
            </w:r>
          </w:p>
        </w:tc>
        <w:tc>
          <w:tcPr>
            <w:tcW w:w="1884"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1个</w:t>
            </w:r>
          </w:p>
        </w:tc>
        <w:tc>
          <w:tcPr>
            <w:tcW w:w="672"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c>
          <w:tcPr>
            <w:tcW w:w="57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16</w:t>
            </w:r>
          </w:p>
        </w:tc>
        <w:tc>
          <w:tcPr>
            <w:tcW w:w="2712"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起升卷筒马达</w:t>
            </w:r>
          </w:p>
        </w:tc>
        <w:tc>
          <w:tcPr>
            <w:tcW w:w="1884"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1个</w:t>
            </w:r>
          </w:p>
        </w:tc>
        <w:tc>
          <w:tcPr>
            <w:tcW w:w="672"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c>
          <w:tcPr>
            <w:tcW w:w="57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17</w:t>
            </w:r>
          </w:p>
        </w:tc>
        <w:tc>
          <w:tcPr>
            <w:tcW w:w="2712"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吊钩</w:t>
            </w:r>
          </w:p>
        </w:tc>
        <w:tc>
          <w:tcPr>
            <w:tcW w:w="1884"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1套</w:t>
            </w:r>
          </w:p>
        </w:tc>
        <w:tc>
          <w:tcPr>
            <w:tcW w:w="672"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c>
          <w:tcPr>
            <w:tcW w:w="57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18</w:t>
            </w:r>
          </w:p>
        </w:tc>
        <w:tc>
          <w:tcPr>
            <w:tcW w:w="2712"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机泵组</w:t>
            </w:r>
          </w:p>
        </w:tc>
        <w:tc>
          <w:tcPr>
            <w:tcW w:w="1884"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泵站系统</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1套</w:t>
            </w:r>
          </w:p>
        </w:tc>
        <w:tc>
          <w:tcPr>
            <w:tcW w:w="672"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c>
          <w:tcPr>
            <w:tcW w:w="57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19</w:t>
            </w:r>
          </w:p>
        </w:tc>
        <w:tc>
          <w:tcPr>
            <w:tcW w:w="2712"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L-HL46号液压油</w:t>
            </w:r>
          </w:p>
        </w:tc>
        <w:tc>
          <w:tcPr>
            <w:tcW w:w="1884"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30L</w:t>
            </w:r>
          </w:p>
        </w:tc>
        <w:tc>
          <w:tcPr>
            <w:tcW w:w="672"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c>
          <w:tcPr>
            <w:tcW w:w="57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20</w:t>
            </w:r>
          </w:p>
        </w:tc>
        <w:tc>
          <w:tcPr>
            <w:tcW w:w="2712"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工具</w:t>
            </w:r>
          </w:p>
        </w:tc>
        <w:tc>
          <w:tcPr>
            <w:tcW w:w="1884"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c>
          <w:tcPr>
            <w:tcW w:w="7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1套</w:t>
            </w:r>
          </w:p>
        </w:tc>
        <w:tc>
          <w:tcPr>
            <w:tcW w:w="672"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8"/>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2"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EF0052"/>
    <w:rsid w:val="7CEF0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2021-12-15T03:03:00Z</dcterms:created>
  <dc:creator>煌嘉软件</dc:creator>
  <cp:lastModifiedBy>煌嘉软件</cp:lastModifiedBy>
  <dcterms:modified xsi:type="dcterms:W3CDTF">2021-12-15T05:07:50Z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78D65544465C4973B5E30265DFFD19FF</vt:lpwstr>
  </property>
</Properties>
</file>