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1F1F1F"/>
          <w:spacing w:val="0"/>
          <w:sz w:val="36"/>
          <w:szCs w:val="36"/>
        </w:rPr>
      </w:pPr>
      <w:bookmarkStart w:id="0" w:name="_GoBack"/>
      <w:r>
        <w:rPr>
          <w:rFonts w:hint="eastAsia" w:asciiTheme="minorEastAsia" w:hAnsiTheme="minorEastAsia" w:eastAsiaTheme="minorEastAsia" w:cstheme="minorEastAsia"/>
          <w:i w:val="0"/>
          <w:iCs w:val="0"/>
          <w:caps w:val="0"/>
          <w:color w:val="1F1F1F"/>
          <w:spacing w:val="0"/>
          <w:kern w:val="0"/>
          <w:sz w:val="36"/>
          <w:szCs w:val="36"/>
          <w:bdr w:val="none" w:color="auto" w:sz="0" w:space="0"/>
          <w:shd w:val="clear" w:fill="FFFFFF"/>
          <w:lang w:val="en-US" w:eastAsia="zh-CN" w:bidi="ar"/>
        </w:rPr>
        <w:t>TW-GY322氨水系统气液吸收相平衡数据测定实验装置</w:t>
      </w:r>
    </w:p>
    <w:bookmarkEnd w:id="0"/>
    <w:p>
      <w:pPr>
        <w:keepNext w:val="0"/>
        <w:keepLines w:val="0"/>
        <w:widowControl/>
        <w:suppressLineNumbers w:val="0"/>
        <w:jc w:val="left"/>
        <w:rPr>
          <w:rFonts w:hint="eastAsia" w:asciiTheme="minorEastAsia" w:hAnsiTheme="minorEastAsia" w:eastAsiaTheme="minorEastAsia" w:cstheme="minorEastAsia"/>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676900" cy="662940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676900" cy="6629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装置功能</w:t>
      </w:r>
    </w:p>
    <w:p>
      <w:pPr>
        <w:keepNext w:val="0"/>
        <w:keepLines w:val="0"/>
        <w:widowControl/>
        <w:suppressLineNumbers w:val="0"/>
        <w:spacing w:after="240" w:afterAutospacing="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学习用静力法测定氨－水系统相平衡数据的方法，并掌握相平衡实验的基本技能。</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主要配置</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电加热器、温度控制仪、温度传感器、搅拌器、高压釜、压力表、恒温槽、转速仪表、不锈钢框架、控制屏。</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公用设施</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水：装置需冷却水，自带和自来水管相连的接口。</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电：电压AC220V，功率2.0KW，标准单相三线制。每个实验室需配置1～2个接地点（安全地及信号地）。</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实验物料：氨－水体系</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技术参数</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1、智能数显温度控制仪，精度FS≤0.2%。</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2、釜加热炉功率：1.5KW。</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3、温度传感器；测量精度FS≤0.5%。</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4、搅拌电机：功率60W、转速0-1500r/min。</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5、电磁搅拌式高压釜：容积0.5L，最高压力：10MPa；最高使用温度：300℃。配有压力表、热电偶、气相液相阀、安全阀，便于随时掌握釜内物质的化学反应的情况和调节釜内物质的成份比例，并保证本釜的安全运行。</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6、装置为304不锈钢制作，结构紧凑，外形美观，流程简单、操作方便。</w:t>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br w:type="textWrapping"/>
      </w:r>
      <w:r>
        <w:rPr>
          <w:rFonts w:hint="eastAsia" w:asciiTheme="minorEastAsia" w:hAnsiTheme="minorEastAsia" w:eastAsiaTheme="minorEastAsia" w:cstheme="minorEastAsia"/>
          <w:i w:val="0"/>
          <w:iCs w:val="0"/>
          <w:caps w:val="0"/>
          <w:color w:val="1F1F1F"/>
          <w:spacing w:val="0"/>
          <w:kern w:val="0"/>
          <w:sz w:val="28"/>
          <w:szCs w:val="28"/>
          <w:shd w:val="clear" w:fill="FFFFFF"/>
          <w:lang w:val="en-US" w:eastAsia="zh-CN" w:bidi="ar"/>
        </w:rPr>
        <w:t>7、外形尺寸：1100×550×1600mm（长×宽×高），外形为可移动式设计，带3寸双刹车轮。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测控组成</w:t>
      </w:r>
    </w:p>
    <w:tbl>
      <w:tblPr>
        <w:tblW w:w="926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200"/>
        <w:gridCol w:w="2727"/>
        <w:gridCol w:w="2046"/>
        <w:gridCol w:w="22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08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变量</w:t>
            </w:r>
          </w:p>
        </w:tc>
        <w:tc>
          <w:tcPr>
            <w:tcW w:w="38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检测机构</w:t>
            </w:r>
          </w:p>
        </w:tc>
        <w:tc>
          <w:tcPr>
            <w:tcW w:w="28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显示机构</w:t>
            </w:r>
          </w:p>
        </w:tc>
        <w:tc>
          <w:tcPr>
            <w:tcW w:w="32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执行机构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308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反应釜温度</w:t>
            </w:r>
          </w:p>
        </w:tc>
        <w:tc>
          <w:tcPr>
            <w:tcW w:w="38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K型热电偶</w:t>
            </w:r>
          </w:p>
        </w:tc>
        <w:tc>
          <w:tcPr>
            <w:tcW w:w="28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数字温度控制仪</w:t>
            </w:r>
          </w:p>
        </w:tc>
        <w:tc>
          <w:tcPr>
            <w:tcW w:w="32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固态调压模块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308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反应压力</w:t>
            </w:r>
          </w:p>
        </w:tc>
        <w:tc>
          <w:tcPr>
            <w:tcW w:w="38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指针式压力表</w:t>
            </w:r>
          </w:p>
        </w:tc>
        <w:tc>
          <w:tcPr>
            <w:tcW w:w="28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压力表就地显示</w:t>
            </w:r>
          </w:p>
        </w:tc>
        <w:tc>
          <w:tcPr>
            <w:tcW w:w="32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308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气体流量</w:t>
            </w:r>
          </w:p>
        </w:tc>
        <w:tc>
          <w:tcPr>
            <w:tcW w:w="38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转子流量计</w:t>
            </w:r>
          </w:p>
        </w:tc>
        <w:tc>
          <w:tcPr>
            <w:tcW w:w="28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转子流量计</w:t>
            </w:r>
          </w:p>
        </w:tc>
        <w:tc>
          <w:tcPr>
            <w:tcW w:w="32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手动阀控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308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液体加入量</w:t>
            </w:r>
          </w:p>
        </w:tc>
        <w:tc>
          <w:tcPr>
            <w:tcW w:w="38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蠕动泵</w:t>
            </w:r>
          </w:p>
        </w:tc>
        <w:tc>
          <w:tcPr>
            <w:tcW w:w="28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数字流量显示仪</w:t>
            </w:r>
          </w:p>
        </w:tc>
        <w:tc>
          <w:tcPr>
            <w:tcW w:w="321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转速调节</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7"/>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705A4"/>
    <w:rsid w:val="7B97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2021-12-10T06:56:00Z</dcterms:created>
  <dc:creator>煌嘉软件</dc:creator>
  <cp:lastModifiedBy>煌嘉软件</cp:lastModifiedBy>
  <dcterms:modified xsi:type="dcterms:W3CDTF">2021-12-10T06:59:59Z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84DD9193E4D040A6A6D6AEA5536E392E</vt:lpwstr>
  </property>
</Properties>
</file>